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E33452" w14:textId="77777777" w:rsidR="00CC4BA6" w:rsidRDefault="00CC4BA6">
      <w:pPr>
        <w:rPr>
          <w:rFonts w:ascii="Arial" w:eastAsia="Arial" w:hAnsi="Arial" w:cs="Arial"/>
        </w:rPr>
      </w:pPr>
    </w:p>
    <w:p w14:paraId="3B5AE9BB" w14:textId="77777777" w:rsidR="00CC4BA6" w:rsidRDefault="00CC4BA6">
      <w:pPr>
        <w:rPr>
          <w:rFonts w:ascii="Arial" w:eastAsia="Arial" w:hAnsi="Arial" w:cs="Arial"/>
        </w:rPr>
      </w:pPr>
    </w:p>
    <w:p w14:paraId="29C590C3" w14:textId="77777777" w:rsidR="00CC4BA6" w:rsidRDefault="00CC4BA6">
      <w:pPr>
        <w:rPr>
          <w:rFonts w:ascii="Arial" w:eastAsia="Arial" w:hAnsi="Arial" w:cs="Arial"/>
        </w:rPr>
      </w:pPr>
    </w:p>
    <w:p w14:paraId="1B4F5CE9" w14:textId="77777777" w:rsidR="00CC4BA6" w:rsidRDefault="00CC4BA6">
      <w:pPr>
        <w:pStyle w:val="Heading1"/>
        <w:jc w:val="center"/>
        <w:rPr>
          <w:color w:val="000000"/>
        </w:rPr>
      </w:pPr>
    </w:p>
    <w:p w14:paraId="4EAC28D7" w14:textId="77777777" w:rsidR="00CC4BA6" w:rsidRDefault="00CC4BA6" w:rsidP="009D536E">
      <w:pPr>
        <w:pStyle w:val="Heading1"/>
        <w:jc w:val="center"/>
        <w:rPr>
          <w:color w:val="000000"/>
        </w:rPr>
      </w:pPr>
    </w:p>
    <w:p w14:paraId="3DA7A3E9" w14:textId="11E14122" w:rsidR="00CC4BA6" w:rsidRDefault="009D536E" w:rsidP="009D536E">
      <w:pPr>
        <w:pStyle w:val="Heading1"/>
        <w:jc w:val="center"/>
        <w:rPr>
          <w:color w:val="000000"/>
        </w:rPr>
      </w:pPr>
      <w:r w:rsidRPr="00667A6E">
        <w:rPr>
          <w:rFonts w:eastAsia="Times New Roman"/>
          <w:noProof/>
          <w:color w:val="222222"/>
          <w:sz w:val="22"/>
          <w:lang w:val="en-CA" w:eastAsia="en-CA"/>
        </w:rPr>
        <w:drawing>
          <wp:inline distT="0" distB="0" distL="0" distR="0" wp14:anchorId="098C6B74" wp14:editId="604E5CA2">
            <wp:extent cx="1296063" cy="1017270"/>
            <wp:effectExtent l="0" t="0" r="0" b="0"/>
            <wp:docPr id="1" name="Picture 1" descr="FINAL_OSSTF BENEFITS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OSSTF BENEFITS_LOGO (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6831" cy="1025722"/>
                    </a:xfrm>
                    <a:prstGeom prst="rect">
                      <a:avLst/>
                    </a:prstGeom>
                    <a:noFill/>
                    <a:ln>
                      <a:noFill/>
                    </a:ln>
                  </pic:spPr>
                </pic:pic>
              </a:graphicData>
            </a:graphic>
          </wp:inline>
        </w:drawing>
      </w:r>
    </w:p>
    <w:p w14:paraId="7FAAB47C" w14:textId="77777777" w:rsidR="009D536E" w:rsidRDefault="009D536E" w:rsidP="009D536E">
      <w:pPr>
        <w:jc w:val="center"/>
        <w:rPr>
          <w:rFonts w:ascii="Arial" w:eastAsia="Arial" w:hAnsi="Arial" w:cs="Arial"/>
          <w:b/>
          <w:sz w:val="44"/>
          <w:szCs w:val="40"/>
        </w:rPr>
      </w:pPr>
    </w:p>
    <w:p w14:paraId="34F50572" w14:textId="77777777" w:rsidR="009D536E" w:rsidRDefault="009D536E" w:rsidP="009D536E">
      <w:pPr>
        <w:jc w:val="center"/>
        <w:rPr>
          <w:rFonts w:ascii="Arial" w:eastAsia="Arial" w:hAnsi="Arial" w:cs="Arial"/>
          <w:b/>
          <w:sz w:val="44"/>
          <w:szCs w:val="40"/>
        </w:rPr>
      </w:pPr>
    </w:p>
    <w:p w14:paraId="6347F962" w14:textId="52DAF4FA" w:rsidR="00CC4BA6" w:rsidRPr="00374249" w:rsidRDefault="001466D1" w:rsidP="009D536E">
      <w:pPr>
        <w:jc w:val="center"/>
        <w:rPr>
          <w:rFonts w:ascii="Arial" w:eastAsia="Arial" w:hAnsi="Arial" w:cs="Arial"/>
          <w:b/>
          <w:sz w:val="44"/>
          <w:szCs w:val="40"/>
        </w:rPr>
      </w:pPr>
      <w:r w:rsidRPr="00374249">
        <w:rPr>
          <w:rFonts w:ascii="Arial" w:eastAsia="Arial" w:hAnsi="Arial" w:cs="Arial"/>
          <w:b/>
          <w:sz w:val="44"/>
          <w:szCs w:val="40"/>
        </w:rPr>
        <w:t>Funding Policy</w:t>
      </w:r>
    </w:p>
    <w:p w14:paraId="382FF49A" w14:textId="77777777" w:rsidR="00CC4BA6" w:rsidRDefault="00CC4BA6" w:rsidP="009D536E">
      <w:pPr>
        <w:jc w:val="center"/>
        <w:rPr>
          <w:rFonts w:ascii="Arial" w:eastAsia="Arial" w:hAnsi="Arial" w:cs="Arial"/>
        </w:rPr>
      </w:pPr>
    </w:p>
    <w:p w14:paraId="22C7856C" w14:textId="77777777" w:rsidR="00CC4BA6" w:rsidRDefault="00CC4BA6" w:rsidP="009D536E">
      <w:pPr>
        <w:jc w:val="center"/>
        <w:rPr>
          <w:rFonts w:ascii="Arial" w:eastAsia="Arial" w:hAnsi="Arial" w:cs="Arial"/>
        </w:rPr>
      </w:pPr>
    </w:p>
    <w:p w14:paraId="5B565307" w14:textId="77777777" w:rsidR="00CC4BA6" w:rsidRDefault="00CC4BA6" w:rsidP="009D536E">
      <w:pPr>
        <w:jc w:val="center"/>
        <w:rPr>
          <w:rFonts w:ascii="Arial" w:eastAsia="Arial" w:hAnsi="Arial" w:cs="Arial"/>
          <w:b/>
          <w:sz w:val="32"/>
          <w:szCs w:val="32"/>
        </w:rPr>
      </w:pPr>
    </w:p>
    <w:p w14:paraId="19BC28BC" w14:textId="77777777" w:rsidR="00CC4BA6" w:rsidRPr="00374249" w:rsidRDefault="001466D1" w:rsidP="009D536E">
      <w:pPr>
        <w:spacing w:after="120"/>
        <w:jc w:val="center"/>
        <w:rPr>
          <w:rFonts w:ascii="Arial" w:eastAsia="Arial" w:hAnsi="Arial" w:cs="Arial"/>
          <w:b/>
          <w:sz w:val="32"/>
          <w:szCs w:val="32"/>
        </w:rPr>
      </w:pPr>
      <w:r w:rsidRPr="00374249">
        <w:rPr>
          <w:rFonts w:ascii="Arial" w:eastAsia="Arial" w:hAnsi="Arial" w:cs="Arial"/>
          <w:b/>
          <w:sz w:val="32"/>
          <w:szCs w:val="32"/>
        </w:rPr>
        <w:t>Ontario</w:t>
      </w:r>
      <w:r w:rsidR="001509F3" w:rsidRPr="00374249">
        <w:rPr>
          <w:rFonts w:ascii="Arial" w:eastAsia="Arial" w:hAnsi="Arial" w:cs="Arial"/>
          <w:b/>
          <w:sz w:val="32"/>
          <w:szCs w:val="32"/>
        </w:rPr>
        <w:t xml:space="preserve"> Secondary School Teachers Federation (OSSTF) Benefits</w:t>
      </w:r>
    </w:p>
    <w:p w14:paraId="62736B11" w14:textId="77777777" w:rsidR="00CC4BA6" w:rsidRPr="00374249" w:rsidRDefault="001466D1" w:rsidP="009D536E">
      <w:pPr>
        <w:spacing w:after="120"/>
        <w:jc w:val="center"/>
        <w:rPr>
          <w:rFonts w:ascii="Arial" w:eastAsia="Arial" w:hAnsi="Arial" w:cs="Arial"/>
          <w:b/>
          <w:sz w:val="32"/>
          <w:szCs w:val="32"/>
        </w:rPr>
      </w:pPr>
      <w:r w:rsidRPr="00374249">
        <w:rPr>
          <w:rFonts w:ascii="Arial" w:eastAsia="Arial" w:hAnsi="Arial" w:cs="Arial"/>
          <w:b/>
          <w:sz w:val="32"/>
          <w:szCs w:val="32"/>
        </w:rPr>
        <w:t>Employee Life and Health Trust</w:t>
      </w:r>
    </w:p>
    <w:p w14:paraId="00DF62EA" w14:textId="77777777" w:rsidR="00CC4BA6" w:rsidRDefault="00CC4BA6" w:rsidP="009D536E">
      <w:pPr>
        <w:jc w:val="center"/>
        <w:rPr>
          <w:rFonts w:ascii="Arial" w:eastAsia="Arial" w:hAnsi="Arial" w:cs="Arial"/>
          <w:b/>
          <w:sz w:val="32"/>
          <w:szCs w:val="32"/>
        </w:rPr>
      </w:pPr>
    </w:p>
    <w:p w14:paraId="14E26887" w14:textId="77777777" w:rsidR="00CC4BA6" w:rsidRDefault="00CC4BA6" w:rsidP="009D536E">
      <w:pPr>
        <w:jc w:val="center"/>
        <w:rPr>
          <w:rFonts w:ascii="Arial" w:eastAsia="Arial" w:hAnsi="Arial" w:cs="Arial"/>
          <w:b/>
          <w:sz w:val="32"/>
          <w:szCs w:val="32"/>
        </w:rPr>
      </w:pPr>
    </w:p>
    <w:p w14:paraId="4CD0BB64" w14:textId="77777777" w:rsidR="00CC4BA6" w:rsidRDefault="00CC4BA6" w:rsidP="009D536E">
      <w:pPr>
        <w:jc w:val="center"/>
        <w:rPr>
          <w:rFonts w:ascii="Arial" w:eastAsia="Arial" w:hAnsi="Arial" w:cs="Arial"/>
          <w:b/>
          <w:sz w:val="32"/>
          <w:szCs w:val="32"/>
        </w:rPr>
      </w:pPr>
    </w:p>
    <w:p w14:paraId="7EB1C114" w14:textId="77777777" w:rsidR="00CC4BA6" w:rsidRDefault="00CC4BA6" w:rsidP="009D536E">
      <w:pPr>
        <w:jc w:val="center"/>
        <w:rPr>
          <w:rFonts w:ascii="Arial" w:eastAsia="Arial" w:hAnsi="Arial" w:cs="Arial"/>
          <w:b/>
          <w:sz w:val="32"/>
          <w:szCs w:val="32"/>
        </w:rPr>
      </w:pPr>
    </w:p>
    <w:p w14:paraId="04492B62" w14:textId="77777777" w:rsidR="00CC4BA6" w:rsidRDefault="00CC4BA6" w:rsidP="009D536E">
      <w:pPr>
        <w:jc w:val="center"/>
        <w:rPr>
          <w:rFonts w:ascii="Arial" w:eastAsia="Arial" w:hAnsi="Arial" w:cs="Arial"/>
          <w:b/>
          <w:sz w:val="32"/>
          <w:szCs w:val="32"/>
        </w:rPr>
      </w:pPr>
    </w:p>
    <w:tbl>
      <w:tblPr>
        <w:tblStyle w:val="a"/>
        <w:tblW w:w="5094" w:type="dxa"/>
        <w:jc w:val="center"/>
        <w:tblBorders>
          <w:top w:val="nil"/>
          <w:left w:val="nil"/>
          <w:bottom w:val="nil"/>
          <w:right w:val="nil"/>
          <w:insideH w:val="nil"/>
          <w:insideV w:val="nil"/>
        </w:tblBorders>
        <w:tblLayout w:type="fixed"/>
        <w:tblLook w:val="0400" w:firstRow="0" w:lastRow="0" w:firstColumn="0" w:lastColumn="0" w:noHBand="0" w:noVBand="1"/>
      </w:tblPr>
      <w:tblGrid>
        <w:gridCol w:w="2394"/>
        <w:gridCol w:w="2700"/>
      </w:tblGrid>
      <w:tr w:rsidR="00CC4BA6" w14:paraId="0D9FB614" w14:textId="77777777">
        <w:trPr>
          <w:jc w:val="center"/>
        </w:trPr>
        <w:tc>
          <w:tcPr>
            <w:tcW w:w="2394" w:type="dxa"/>
          </w:tcPr>
          <w:p w14:paraId="0611FFAF" w14:textId="77777777" w:rsidR="00CC4BA6" w:rsidRDefault="001466D1" w:rsidP="009D536E">
            <w:pPr>
              <w:contextualSpacing w:val="0"/>
              <w:jc w:val="center"/>
              <w:rPr>
                <w:rFonts w:ascii="Arial" w:eastAsia="Arial" w:hAnsi="Arial" w:cs="Arial"/>
              </w:rPr>
            </w:pPr>
            <w:r>
              <w:rPr>
                <w:rFonts w:ascii="Arial" w:eastAsia="Arial" w:hAnsi="Arial" w:cs="Arial"/>
              </w:rPr>
              <w:t>Effective Date:</w:t>
            </w:r>
          </w:p>
        </w:tc>
        <w:tc>
          <w:tcPr>
            <w:tcW w:w="2700" w:type="dxa"/>
          </w:tcPr>
          <w:p w14:paraId="7B8A8F13" w14:textId="475D7B34" w:rsidR="0068048A" w:rsidRDefault="00AA5CBD" w:rsidP="009D536E">
            <w:pPr>
              <w:contextualSpacing w:val="0"/>
              <w:jc w:val="center"/>
              <w:rPr>
                <w:rFonts w:ascii="Arial" w:eastAsia="Arial" w:hAnsi="Arial" w:cs="Arial"/>
              </w:rPr>
            </w:pPr>
            <w:r>
              <w:rPr>
                <w:rFonts w:ascii="Arial" w:eastAsia="Arial" w:hAnsi="Arial" w:cs="Arial"/>
              </w:rPr>
              <w:t>March, 2021</w:t>
            </w:r>
          </w:p>
        </w:tc>
      </w:tr>
    </w:tbl>
    <w:p w14:paraId="4318DF94" w14:textId="77777777" w:rsidR="00CC4BA6" w:rsidRDefault="00CC4BA6" w:rsidP="009D536E">
      <w:pPr>
        <w:pStyle w:val="Heading3"/>
        <w:spacing w:after="120"/>
        <w:jc w:val="center"/>
        <w:rPr>
          <w:rFonts w:ascii="Arial" w:eastAsia="Arial" w:hAnsi="Arial" w:cs="Arial"/>
          <w:color w:val="000000"/>
        </w:rPr>
      </w:pPr>
    </w:p>
    <w:p w14:paraId="2C460117" w14:textId="77777777" w:rsidR="00CC4BA6" w:rsidRDefault="001466D1">
      <w:r>
        <w:br w:type="page"/>
      </w:r>
    </w:p>
    <w:p w14:paraId="14A49E68" w14:textId="77777777" w:rsidR="00CC4BA6" w:rsidRDefault="00CC4BA6">
      <w:pPr>
        <w:spacing w:line="276" w:lineRule="auto"/>
        <w:rPr>
          <w:rFonts w:ascii="Arial" w:eastAsia="Arial" w:hAnsi="Arial" w:cs="Arial"/>
        </w:rPr>
        <w:sectPr w:rsidR="00CC4BA6">
          <w:headerReference w:type="even" r:id="rId8"/>
          <w:headerReference w:type="default" r:id="rId9"/>
          <w:footerReference w:type="default" r:id="rId10"/>
          <w:headerReference w:type="first" r:id="rId11"/>
          <w:pgSz w:w="12240" w:h="15840"/>
          <w:pgMar w:top="1344" w:right="1134" w:bottom="1440" w:left="1134" w:header="0" w:footer="720" w:gutter="0"/>
          <w:pgNumType w:start="1"/>
          <w:cols w:space="720"/>
        </w:sectPr>
      </w:pPr>
    </w:p>
    <w:p w14:paraId="0A5DC776" w14:textId="14B42ED4" w:rsidR="00CC4BA6" w:rsidRPr="002771A9" w:rsidRDefault="001466D1" w:rsidP="00D60B4D">
      <w:pPr>
        <w:keepNext/>
        <w:keepLines/>
        <w:tabs>
          <w:tab w:val="left" w:pos="5923"/>
        </w:tabs>
        <w:spacing w:before="480" w:line="276" w:lineRule="auto"/>
        <w:rPr>
          <w:rFonts w:ascii="Arial" w:eastAsia="Arial" w:hAnsi="Arial" w:cs="Arial"/>
          <w:b/>
          <w:sz w:val="32"/>
          <w:szCs w:val="28"/>
        </w:rPr>
      </w:pPr>
      <w:bookmarkStart w:id="0" w:name="_30j0zll" w:colFirst="0" w:colLast="0"/>
      <w:bookmarkEnd w:id="0"/>
      <w:r w:rsidRPr="002771A9">
        <w:rPr>
          <w:rFonts w:ascii="Arial" w:eastAsia="Arial" w:hAnsi="Arial" w:cs="Arial"/>
          <w:b/>
          <w:sz w:val="32"/>
          <w:szCs w:val="28"/>
        </w:rPr>
        <w:lastRenderedPageBreak/>
        <w:t>Contents</w:t>
      </w:r>
      <w:r w:rsidR="00D60B4D">
        <w:rPr>
          <w:rFonts w:ascii="Arial" w:eastAsia="Arial" w:hAnsi="Arial" w:cs="Arial"/>
          <w:b/>
          <w:sz w:val="32"/>
          <w:szCs w:val="28"/>
        </w:rPr>
        <w:tab/>
      </w:r>
    </w:p>
    <w:p w14:paraId="4AB9BEE0" w14:textId="77777777" w:rsidR="00586E0A" w:rsidRPr="00586E0A" w:rsidRDefault="00586E0A" w:rsidP="00586E0A">
      <w:pPr>
        <w:keepNext/>
        <w:keepLines/>
        <w:spacing w:line="276" w:lineRule="auto"/>
        <w:rPr>
          <w:rFonts w:ascii="Arial" w:eastAsia="Arial" w:hAnsi="Arial" w:cs="Arial"/>
          <w:b/>
          <w:szCs w:val="28"/>
        </w:rPr>
      </w:pPr>
    </w:p>
    <w:sdt>
      <w:sdtPr>
        <w:rPr>
          <w:rFonts w:cs="Arial"/>
        </w:rPr>
        <w:id w:val="1167598364"/>
        <w:docPartObj>
          <w:docPartGallery w:val="Table of Contents"/>
          <w:docPartUnique/>
        </w:docPartObj>
      </w:sdtPr>
      <w:sdtEndPr/>
      <w:sdtContent>
        <w:p w14:paraId="52DC7C61" w14:textId="7A0A68FD" w:rsidR="001709CA" w:rsidRDefault="00487763">
          <w:pPr>
            <w:pStyle w:val="TOC1"/>
            <w:rPr>
              <w:rFonts w:asciiTheme="minorHAnsi" w:eastAsiaTheme="minorEastAsia" w:hAnsiTheme="minorHAnsi" w:cstheme="minorBidi"/>
              <w:noProof/>
              <w:color w:val="auto"/>
            </w:rPr>
          </w:pPr>
          <w:r>
            <w:rPr>
              <w:rFonts w:cs="Arial"/>
            </w:rPr>
            <w:fldChar w:fldCharType="begin"/>
          </w:r>
          <w:r>
            <w:rPr>
              <w:rFonts w:cs="Arial"/>
            </w:rPr>
            <w:instrText xml:space="preserve"> TOC \o "1-3" \h \z \u </w:instrText>
          </w:r>
          <w:r>
            <w:rPr>
              <w:rFonts w:cs="Arial"/>
            </w:rPr>
            <w:fldChar w:fldCharType="separate"/>
          </w:r>
          <w:hyperlink w:anchor="_Toc520275058" w:history="1">
            <w:r w:rsidR="001709CA" w:rsidRPr="000C6409">
              <w:rPr>
                <w:rStyle w:val="Hyperlink"/>
                <w:noProof/>
              </w:rPr>
              <w:t>1.</w:t>
            </w:r>
            <w:r w:rsidR="001709CA">
              <w:rPr>
                <w:rFonts w:asciiTheme="minorHAnsi" w:eastAsiaTheme="minorEastAsia" w:hAnsiTheme="minorHAnsi" w:cstheme="minorBidi"/>
                <w:noProof/>
                <w:color w:val="auto"/>
              </w:rPr>
              <w:tab/>
            </w:r>
            <w:r w:rsidR="001709CA" w:rsidRPr="000C6409">
              <w:rPr>
                <w:rStyle w:val="Hyperlink"/>
                <w:noProof/>
              </w:rPr>
              <w:t>Purpose</w:t>
            </w:r>
            <w:r w:rsidR="001709CA">
              <w:rPr>
                <w:noProof/>
                <w:webHidden/>
              </w:rPr>
              <w:tab/>
            </w:r>
            <w:r w:rsidR="001709CA">
              <w:rPr>
                <w:noProof/>
                <w:webHidden/>
              </w:rPr>
              <w:fldChar w:fldCharType="begin"/>
            </w:r>
            <w:r w:rsidR="001709CA">
              <w:rPr>
                <w:noProof/>
                <w:webHidden/>
              </w:rPr>
              <w:instrText xml:space="preserve"> PAGEREF _Toc520275058 \h </w:instrText>
            </w:r>
            <w:r w:rsidR="001709CA">
              <w:rPr>
                <w:noProof/>
                <w:webHidden/>
              </w:rPr>
            </w:r>
            <w:r w:rsidR="001709CA">
              <w:rPr>
                <w:noProof/>
                <w:webHidden/>
              </w:rPr>
              <w:fldChar w:fldCharType="separate"/>
            </w:r>
            <w:r w:rsidR="00A9092A">
              <w:rPr>
                <w:noProof/>
                <w:webHidden/>
              </w:rPr>
              <w:t>1</w:t>
            </w:r>
            <w:r w:rsidR="001709CA">
              <w:rPr>
                <w:noProof/>
                <w:webHidden/>
              </w:rPr>
              <w:fldChar w:fldCharType="end"/>
            </w:r>
          </w:hyperlink>
        </w:p>
        <w:p w14:paraId="6F9C6961" w14:textId="6C3744EF" w:rsidR="001709CA" w:rsidRDefault="002A61DF">
          <w:pPr>
            <w:pStyle w:val="TOC1"/>
            <w:rPr>
              <w:rFonts w:asciiTheme="minorHAnsi" w:eastAsiaTheme="minorEastAsia" w:hAnsiTheme="minorHAnsi" w:cstheme="minorBidi"/>
              <w:noProof/>
              <w:color w:val="auto"/>
            </w:rPr>
          </w:pPr>
          <w:hyperlink w:anchor="_Toc520275059" w:history="1">
            <w:r w:rsidR="001709CA" w:rsidRPr="000C6409">
              <w:rPr>
                <w:rStyle w:val="Hyperlink"/>
                <w:noProof/>
              </w:rPr>
              <w:t>2.</w:t>
            </w:r>
            <w:r w:rsidR="001709CA">
              <w:rPr>
                <w:rFonts w:asciiTheme="minorHAnsi" w:eastAsiaTheme="minorEastAsia" w:hAnsiTheme="minorHAnsi" w:cstheme="minorBidi"/>
                <w:noProof/>
                <w:color w:val="auto"/>
              </w:rPr>
              <w:tab/>
            </w:r>
            <w:r w:rsidR="001709CA" w:rsidRPr="000C6409">
              <w:rPr>
                <w:rStyle w:val="Hyperlink"/>
                <w:noProof/>
              </w:rPr>
              <w:t>Policy Considerations</w:t>
            </w:r>
            <w:r w:rsidR="001709CA">
              <w:rPr>
                <w:noProof/>
                <w:webHidden/>
              </w:rPr>
              <w:tab/>
            </w:r>
            <w:r w:rsidR="001709CA">
              <w:rPr>
                <w:noProof/>
                <w:webHidden/>
              </w:rPr>
              <w:fldChar w:fldCharType="begin"/>
            </w:r>
            <w:r w:rsidR="001709CA">
              <w:rPr>
                <w:noProof/>
                <w:webHidden/>
              </w:rPr>
              <w:instrText xml:space="preserve"> PAGEREF _Toc520275059 \h </w:instrText>
            </w:r>
            <w:r w:rsidR="001709CA">
              <w:rPr>
                <w:noProof/>
                <w:webHidden/>
              </w:rPr>
            </w:r>
            <w:r w:rsidR="001709CA">
              <w:rPr>
                <w:noProof/>
                <w:webHidden/>
              </w:rPr>
              <w:fldChar w:fldCharType="separate"/>
            </w:r>
            <w:r w:rsidR="00A9092A">
              <w:rPr>
                <w:noProof/>
                <w:webHidden/>
              </w:rPr>
              <w:t>2</w:t>
            </w:r>
            <w:r w:rsidR="001709CA">
              <w:rPr>
                <w:noProof/>
                <w:webHidden/>
              </w:rPr>
              <w:fldChar w:fldCharType="end"/>
            </w:r>
          </w:hyperlink>
          <w:r w:rsidR="00C07015">
            <w:rPr>
              <w:noProof/>
            </w:rPr>
            <w:t>-3</w:t>
          </w:r>
        </w:p>
        <w:p w14:paraId="5E83ADC4" w14:textId="3AC73688" w:rsidR="001709CA" w:rsidRDefault="002A61DF">
          <w:pPr>
            <w:pStyle w:val="TOC1"/>
            <w:rPr>
              <w:rFonts w:asciiTheme="minorHAnsi" w:eastAsiaTheme="minorEastAsia" w:hAnsiTheme="minorHAnsi" w:cstheme="minorBidi"/>
              <w:noProof/>
              <w:color w:val="auto"/>
            </w:rPr>
          </w:pPr>
          <w:hyperlink w:anchor="_Toc520275060" w:history="1">
            <w:r w:rsidR="001709CA" w:rsidRPr="000C6409">
              <w:rPr>
                <w:rStyle w:val="Hyperlink"/>
                <w:noProof/>
              </w:rPr>
              <w:t>3.</w:t>
            </w:r>
            <w:r w:rsidR="001709CA">
              <w:rPr>
                <w:rFonts w:asciiTheme="minorHAnsi" w:eastAsiaTheme="minorEastAsia" w:hAnsiTheme="minorHAnsi" w:cstheme="minorBidi"/>
                <w:noProof/>
                <w:color w:val="auto"/>
              </w:rPr>
              <w:tab/>
            </w:r>
            <w:r w:rsidR="001709CA" w:rsidRPr="000C6409">
              <w:rPr>
                <w:rStyle w:val="Hyperlink"/>
                <w:noProof/>
              </w:rPr>
              <w:t>Underlying Principles</w:t>
            </w:r>
            <w:r w:rsidR="001709CA">
              <w:rPr>
                <w:noProof/>
                <w:webHidden/>
              </w:rPr>
              <w:tab/>
            </w:r>
            <w:r w:rsidR="001709CA">
              <w:rPr>
                <w:noProof/>
                <w:webHidden/>
              </w:rPr>
              <w:fldChar w:fldCharType="begin"/>
            </w:r>
            <w:r w:rsidR="001709CA">
              <w:rPr>
                <w:noProof/>
                <w:webHidden/>
              </w:rPr>
              <w:instrText xml:space="preserve"> PAGEREF _Toc520275060 \h </w:instrText>
            </w:r>
            <w:r w:rsidR="001709CA">
              <w:rPr>
                <w:noProof/>
                <w:webHidden/>
              </w:rPr>
            </w:r>
            <w:r w:rsidR="001709CA">
              <w:rPr>
                <w:noProof/>
                <w:webHidden/>
              </w:rPr>
              <w:fldChar w:fldCharType="separate"/>
            </w:r>
            <w:r w:rsidR="00A9092A">
              <w:rPr>
                <w:noProof/>
                <w:webHidden/>
              </w:rPr>
              <w:t>4</w:t>
            </w:r>
            <w:r w:rsidR="001709CA">
              <w:rPr>
                <w:noProof/>
                <w:webHidden/>
              </w:rPr>
              <w:fldChar w:fldCharType="end"/>
            </w:r>
          </w:hyperlink>
        </w:p>
        <w:p w14:paraId="7CAE1808" w14:textId="69432B45" w:rsidR="001709CA" w:rsidRDefault="002A61DF">
          <w:pPr>
            <w:pStyle w:val="TOC1"/>
            <w:rPr>
              <w:rFonts w:asciiTheme="minorHAnsi" w:eastAsiaTheme="minorEastAsia" w:hAnsiTheme="minorHAnsi" w:cstheme="minorBidi"/>
              <w:noProof/>
              <w:color w:val="auto"/>
            </w:rPr>
          </w:pPr>
          <w:hyperlink w:anchor="_Toc520275061" w:history="1">
            <w:r w:rsidR="001709CA" w:rsidRPr="000C6409">
              <w:rPr>
                <w:rStyle w:val="Hyperlink"/>
                <w:noProof/>
              </w:rPr>
              <w:t>4.</w:t>
            </w:r>
            <w:r w:rsidR="001709CA">
              <w:rPr>
                <w:rFonts w:asciiTheme="minorHAnsi" w:eastAsiaTheme="minorEastAsia" w:hAnsiTheme="minorHAnsi" w:cstheme="minorBidi"/>
                <w:noProof/>
                <w:color w:val="auto"/>
              </w:rPr>
              <w:tab/>
            </w:r>
            <w:r w:rsidR="001709CA" w:rsidRPr="000C6409">
              <w:rPr>
                <w:rStyle w:val="Hyperlink"/>
                <w:noProof/>
              </w:rPr>
              <w:t>Key Risks</w:t>
            </w:r>
            <w:r w:rsidR="001709CA">
              <w:rPr>
                <w:noProof/>
                <w:webHidden/>
              </w:rPr>
              <w:tab/>
            </w:r>
            <w:r w:rsidR="001709CA">
              <w:rPr>
                <w:noProof/>
                <w:webHidden/>
              </w:rPr>
              <w:fldChar w:fldCharType="begin"/>
            </w:r>
            <w:r w:rsidR="001709CA">
              <w:rPr>
                <w:noProof/>
                <w:webHidden/>
              </w:rPr>
              <w:instrText xml:space="preserve"> PAGEREF _Toc520275061 \h </w:instrText>
            </w:r>
            <w:r w:rsidR="001709CA">
              <w:rPr>
                <w:noProof/>
                <w:webHidden/>
              </w:rPr>
            </w:r>
            <w:r w:rsidR="001709CA">
              <w:rPr>
                <w:noProof/>
                <w:webHidden/>
              </w:rPr>
              <w:fldChar w:fldCharType="separate"/>
            </w:r>
            <w:r w:rsidR="00A9092A">
              <w:rPr>
                <w:noProof/>
                <w:webHidden/>
              </w:rPr>
              <w:t>5</w:t>
            </w:r>
            <w:r w:rsidR="001709CA">
              <w:rPr>
                <w:noProof/>
                <w:webHidden/>
              </w:rPr>
              <w:fldChar w:fldCharType="end"/>
            </w:r>
          </w:hyperlink>
          <w:r w:rsidR="00D60B4D">
            <w:rPr>
              <w:noProof/>
            </w:rPr>
            <w:t>-6</w:t>
          </w:r>
        </w:p>
        <w:p w14:paraId="3DDCF753" w14:textId="39B87518" w:rsidR="001709CA" w:rsidRDefault="002A61DF">
          <w:pPr>
            <w:pStyle w:val="TOC1"/>
            <w:rPr>
              <w:rFonts w:asciiTheme="minorHAnsi" w:eastAsiaTheme="minorEastAsia" w:hAnsiTheme="minorHAnsi" w:cstheme="minorBidi"/>
              <w:noProof/>
              <w:color w:val="auto"/>
            </w:rPr>
          </w:pPr>
          <w:hyperlink w:anchor="_Toc520275062" w:history="1">
            <w:r w:rsidR="001709CA" w:rsidRPr="000C6409">
              <w:rPr>
                <w:rStyle w:val="Hyperlink"/>
                <w:noProof/>
              </w:rPr>
              <w:t>5.</w:t>
            </w:r>
            <w:r w:rsidR="001709CA">
              <w:rPr>
                <w:rFonts w:asciiTheme="minorHAnsi" w:eastAsiaTheme="minorEastAsia" w:hAnsiTheme="minorHAnsi" w:cstheme="minorBidi"/>
                <w:noProof/>
                <w:color w:val="auto"/>
              </w:rPr>
              <w:tab/>
            </w:r>
            <w:r w:rsidR="001709CA" w:rsidRPr="000C6409">
              <w:rPr>
                <w:rStyle w:val="Hyperlink"/>
                <w:noProof/>
              </w:rPr>
              <w:t>Management of Risk</w:t>
            </w:r>
            <w:r w:rsidR="001709CA">
              <w:rPr>
                <w:noProof/>
                <w:webHidden/>
              </w:rPr>
              <w:tab/>
            </w:r>
            <w:r w:rsidR="001709CA">
              <w:rPr>
                <w:noProof/>
                <w:webHidden/>
              </w:rPr>
              <w:fldChar w:fldCharType="begin"/>
            </w:r>
            <w:r w:rsidR="001709CA">
              <w:rPr>
                <w:noProof/>
                <w:webHidden/>
              </w:rPr>
              <w:instrText xml:space="preserve"> PAGEREF _Toc520275062 \h </w:instrText>
            </w:r>
            <w:r w:rsidR="001709CA">
              <w:rPr>
                <w:noProof/>
                <w:webHidden/>
              </w:rPr>
            </w:r>
            <w:r w:rsidR="001709CA">
              <w:rPr>
                <w:noProof/>
                <w:webHidden/>
              </w:rPr>
              <w:fldChar w:fldCharType="separate"/>
            </w:r>
            <w:r w:rsidR="00A9092A">
              <w:rPr>
                <w:noProof/>
                <w:webHidden/>
              </w:rPr>
              <w:t>6</w:t>
            </w:r>
            <w:r w:rsidR="001709CA">
              <w:rPr>
                <w:noProof/>
                <w:webHidden/>
              </w:rPr>
              <w:fldChar w:fldCharType="end"/>
            </w:r>
          </w:hyperlink>
        </w:p>
        <w:p w14:paraId="6108EDE9" w14:textId="2BBB2C71" w:rsidR="001709CA" w:rsidRDefault="002A61DF">
          <w:pPr>
            <w:pStyle w:val="TOC1"/>
            <w:rPr>
              <w:rFonts w:asciiTheme="minorHAnsi" w:eastAsiaTheme="minorEastAsia" w:hAnsiTheme="minorHAnsi" w:cstheme="minorBidi"/>
              <w:noProof/>
              <w:color w:val="auto"/>
            </w:rPr>
          </w:pPr>
          <w:hyperlink w:anchor="_Toc520275063" w:history="1">
            <w:r w:rsidR="001709CA" w:rsidRPr="000C6409">
              <w:rPr>
                <w:rStyle w:val="Hyperlink"/>
                <w:noProof/>
              </w:rPr>
              <w:t>6.</w:t>
            </w:r>
            <w:r w:rsidR="001709CA">
              <w:rPr>
                <w:rFonts w:asciiTheme="minorHAnsi" w:eastAsiaTheme="minorEastAsia" w:hAnsiTheme="minorHAnsi" w:cstheme="minorBidi"/>
                <w:noProof/>
                <w:color w:val="auto"/>
              </w:rPr>
              <w:tab/>
            </w:r>
            <w:r w:rsidR="001709CA" w:rsidRPr="000C6409">
              <w:rPr>
                <w:rStyle w:val="Hyperlink"/>
                <w:noProof/>
              </w:rPr>
              <w:t>Actuarial Valuations</w:t>
            </w:r>
            <w:r w:rsidR="001709CA">
              <w:rPr>
                <w:noProof/>
                <w:webHidden/>
              </w:rPr>
              <w:tab/>
            </w:r>
            <w:r w:rsidR="001709CA">
              <w:rPr>
                <w:noProof/>
                <w:webHidden/>
              </w:rPr>
              <w:fldChar w:fldCharType="begin"/>
            </w:r>
            <w:r w:rsidR="001709CA">
              <w:rPr>
                <w:noProof/>
                <w:webHidden/>
              </w:rPr>
              <w:instrText xml:space="preserve"> PAGEREF _Toc520275063 \h </w:instrText>
            </w:r>
            <w:r w:rsidR="001709CA">
              <w:rPr>
                <w:noProof/>
                <w:webHidden/>
              </w:rPr>
            </w:r>
            <w:r w:rsidR="001709CA">
              <w:rPr>
                <w:noProof/>
                <w:webHidden/>
              </w:rPr>
              <w:fldChar w:fldCharType="separate"/>
            </w:r>
            <w:r w:rsidR="00A9092A">
              <w:rPr>
                <w:noProof/>
                <w:webHidden/>
              </w:rPr>
              <w:t>7</w:t>
            </w:r>
            <w:r w:rsidR="001709CA">
              <w:rPr>
                <w:noProof/>
                <w:webHidden/>
              </w:rPr>
              <w:fldChar w:fldCharType="end"/>
            </w:r>
          </w:hyperlink>
        </w:p>
        <w:p w14:paraId="2E9BFDC7" w14:textId="391F7C24" w:rsidR="001709CA" w:rsidRDefault="002A61DF">
          <w:pPr>
            <w:pStyle w:val="TOC1"/>
            <w:rPr>
              <w:rFonts w:asciiTheme="minorHAnsi" w:eastAsiaTheme="minorEastAsia" w:hAnsiTheme="minorHAnsi" w:cstheme="minorBidi"/>
              <w:noProof/>
              <w:color w:val="auto"/>
            </w:rPr>
          </w:pPr>
          <w:hyperlink w:anchor="_Toc520275064" w:history="1">
            <w:r w:rsidR="001709CA" w:rsidRPr="000C6409">
              <w:rPr>
                <w:rStyle w:val="Hyperlink"/>
                <w:noProof/>
              </w:rPr>
              <w:t>7.</w:t>
            </w:r>
            <w:r w:rsidR="001709CA">
              <w:rPr>
                <w:rFonts w:asciiTheme="minorHAnsi" w:eastAsiaTheme="minorEastAsia" w:hAnsiTheme="minorHAnsi" w:cstheme="minorBidi"/>
                <w:noProof/>
                <w:color w:val="auto"/>
              </w:rPr>
              <w:tab/>
            </w:r>
            <w:r w:rsidR="001709CA" w:rsidRPr="000C6409">
              <w:rPr>
                <w:rStyle w:val="Hyperlink"/>
                <w:noProof/>
              </w:rPr>
              <w:t>Benefit Adjustments</w:t>
            </w:r>
            <w:r w:rsidR="001709CA">
              <w:rPr>
                <w:noProof/>
                <w:webHidden/>
              </w:rPr>
              <w:tab/>
            </w:r>
            <w:r w:rsidR="001709CA">
              <w:rPr>
                <w:noProof/>
                <w:webHidden/>
              </w:rPr>
              <w:fldChar w:fldCharType="begin"/>
            </w:r>
            <w:r w:rsidR="001709CA">
              <w:rPr>
                <w:noProof/>
                <w:webHidden/>
              </w:rPr>
              <w:instrText xml:space="preserve"> PAGEREF _Toc520275064 \h </w:instrText>
            </w:r>
            <w:r w:rsidR="001709CA">
              <w:rPr>
                <w:noProof/>
                <w:webHidden/>
              </w:rPr>
            </w:r>
            <w:r w:rsidR="001709CA">
              <w:rPr>
                <w:noProof/>
                <w:webHidden/>
              </w:rPr>
              <w:fldChar w:fldCharType="separate"/>
            </w:r>
            <w:r w:rsidR="00A9092A">
              <w:rPr>
                <w:noProof/>
                <w:webHidden/>
              </w:rPr>
              <w:t>8</w:t>
            </w:r>
            <w:r w:rsidR="001709CA">
              <w:rPr>
                <w:noProof/>
                <w:webHidden/>
              </w:rPr>
              <w:fldChar w:fldCharType="end"/>
            </w:r>
          </w:hyperlink>
        </w:p>
        <w:p w14:paraId="316397FB" w14:textId="404F01CE" w:rsidR="001709CA" w:rsidRDefault="002A61DF">
          <w:pPr>
            <w:pStyle w:val="TOC1"/>
            <w:rPr>
              <w:rFonts w:asciiTheme="minorHAnsi" w:eastAsiaTheme="minorEastAsia" w:hAnsiTheme="minorHAnsi" w:cstheme="minorBidi"/>
              <w:noProof/>
              <w:color w:val="auto"/>
            </w:rPr>
          </w:pPr>
          <w:hyperlink w:anchor="_Toc520275065" w:history="1">
            <w:r w:rsidR="001709CA" w:rsidRPr="000C6409">
              <w:rPr>
                <w:rStyle w:val="Hyperlink"/>
                <w:noProof/>
              </w:rPr>
              <w:t>8.</w:t>
            </w:r>
            <w:r w:rsidR="001709CA">
              <w:rPr>
                <w:rFonts w:asciiTheme="minorHAnsi" w:eastAsiaTheme="minorEastAsia" w:hAnsiTheme="minorHAnsi" w:cstheme="minorBidi"/>
                <w:noProof/>
                <w:color w:val="auto"/>
              </w:rPr>
              <w:tab/>
            </w:r>
            <w:r w:rsidR="001709CA" w:rsidRPr="000C6409">
              <w:rPr>
                <w:rStyle w:val="Hyperlink"/>
                <w:noProof/>
              </w:rPr>
              <w:t>Funding Targets</w:t>
            </w:r>
            <w:r w:rsidR="001709CA">
              <w:rPr>
                <w:noProof/>
                <w:webHidden/>
              </w:rPr>
              <w:tab/>
            </w:r>
            <w:r w:rsidR="001709CA">
              <w:rPr>
                <w:noProof/>
                <w:webHidden/>
              </w:rPr>
              <w:fldChar w:fldCharType="begin"/>
            </w:r>
            <w:r w:rsidR="001709CA">
              <w:rPr>
                <w:noProof/>
                <w:webHidden/>
              </w:rPr>
              <w:instrText xml:space="preserve"> PAGEREF _Toc520275065 \h </w:instrText>
            </w:r>
            <w:r w:rsidR="001709CA">
              <w:rPr>
                <w:noProof/>
                <w:webHidden/>
              </w:rPr>
            </w:r>
            <w:r w:rsidR="001709CA">
              <w:rPr>
                <w:noProof/>
                <w:webHidden/>
              </w:rPr>
              <w:fldChar w:fldCharType="separate"/>
            </w:r>
            <w:r w:rsidR="00A9092A">
              <w:rPr>
                <w:noProof/>
                <w:webHidden/>
              </w:rPr>
              <w:t>9</w:t>
            </w:r>
            <w:r w:rsidR="001709CA">
              <w:rPr>
                <w:noProof/>
                <w:webHidden/>
              </w:rPr>
              <w:fldChar w:fldCharType="end"/>
            </w:r>
          </w:hyperlink>
        </w:p>
        <w:p w14:paraId="54CA461C" w14:textId="07822682" w:rsidR="001709CA" w:rsidRDefault="002A61DF">
          <w:pPr>
            <w:pStyle w:val="TOC1"/>
            <w:rPr>
              <w:rFonts w:asciiTheme="minorHAnsi" w:eastAsiaTheme="minorEastAsia" w:hAnsiTheme="minorHAnsi" w:cstheme="minorBidi"/>
              <w:noProof/>
              <w:color w:val="auto"/>
            </w:rPr>
          </w:pPr>
          <w:hyperlink w:anchor="_Toc520275066" w:history="1">
            <w:r w:rsidR="001709CA" w:rsidRPr="000C6409">
              <w:rPr>
                <w:rStyle w:val="Hyperlink"/>
                <w:noProof/>
              </w:rPr>
              <w:t>9.</w:t>
            </w:r>
            <w:r w:rsidR="001709CA">
              <w:rPr>
                <w:rFonts w:asciiTheme="minorHAnsi" w:eastAsiaTheme="minorEastAsia" w:hAnsiTheme="minorHAnsi" w:cstheme="minorBidi"/>
                <w:noProof/>
                <w:color w:val="auto"/>
              </w:rPr>
              <w:tab/>
            </w:r>
            <w:r w:rsidR="001709CA" w:rsidRPr="000C6409">
              <w:rPr>
                <w:rStyle w:val="Hyperlink"/>
                <w:noProof/>
              </w:rPr>
              <w:t>Risk Mitigation</w:t>
            </w:r>
            <w:r w:rsidR="001709CA">
              <w:rPr>
                <w:noProof/>
                <w:webHidden/>
              </w:rPr>
              <w:tab/>
            </w:r>
            <w:r w:rsidR="001709CA">
              <w:rPr>
                <w:noProof/>
                <w:webHidden/>
              </w:rPr>
              <w:fldChar w:fldCharType="begin"/>
            </w:r>
            <w:r w:rsidR="001709CA">
              <w:rPr>
                <w:noProof/>
                <w:webHidden/>
              </w:rPr>
              <w:instrText xml:space="preserve"> PAGEREF _Toc520275066 \h </w:instrText>
            </w:r>
            <w:r w:rsidR="001709CA">
              <w:rPr>
                <w:noProof/>
                <w:webHidden/>
              </w:rPr>
            </w:r>
            <w:r w:rsidR="001709CA">
              <w:rPr>
                <w:noProof/>
                <w:webHidden/>
              </w:rPr>
              <w:fldChar w:fldCharType="separate"/>
            </w:r>
            <w:r w:rsidR="00A9092A">
              <w:rPr>
                <w:noProof/>
                <w:webHidden/>
              </w:rPr>
              <w:t>10</w:t>
            </w:r>
            <w:r w:rsidR="001709CA">
              <w:rPr>
                <w:noProof/>
                <w:webHidden/>
              </w:rPr>
              <w:fldChar w:fldCharType="end"/>
            </w:r>
          </w:hyperlink>
        </w:p>
        <w:p w14:paraId="6EF07669" w14:textId="10B3E508" w:rsidR="001709CA" w:rsidRDefault="002A61DF">
          <w:pPr>
            <w:pStyle w:val="TOC1"/>
            <w:rPr>
              <w:rFonts w:asciiTheme="minorHAnsi" w:eastAsiaTheme="minorEastAsia" w:hAnsiTheme="minorHAnsi" w:cstheme="minorBidi"/>
              <w:noProof/>
              <w:color w:val="auto"/>
            </w:rPr>
          </w:pPr>
          <w:hyperlink w:anchor="_Toc520275067" w:history="1">
            <w:r w:rsidR="001709CA" w:rsidRPr="000C6409">
              <w:rPr>
                <w:rStyle w:val="Hyperlink"/>
                <w:noProof/>
              </w:rPr>
              <w:t>10.</w:t>
            </w:r>
            <w:r w:rsidR="001709CA">
              <w:rPr>
                <w:rFonts w:asciiTheme="minorHAnsi" w:eastAsiaTheme="minorEastAsia" w:hAnsiTheme="minorHAnsi" w:cstheme="minorBidi"/>
                <w:noProof/>
                <w:color w:val="auto"/>
              </w:rPr>
              <w:tab/>
            </w:r>
            <w:r w:rsidR="001709CA" w:rsidRPr="000C6409">
              <w:rPr>
                <w:rStyle w:val="Hyperlink"/>
                <w:noProof/>
              </w:rPr>
              <w:t>Surpluses and Deficits</w:t>
            </w:r>
            <w:r w:rsidR="001709CA">
              <w:rPr>
                <w:noProof/>
                <w:webHidden/>
              </w:rPr>
              <w:tab/>
            </w:r>
            <w:r w:rsidR="001709CA">
              <w:rPr>
                <w:noProof/>
                <w:webHidden/>
              </w:rPr>
              <w:fldChar w:fldCharType="begin"/>
            </w:r>
            <w:r w:rsidR="001709CA">
              <w:rPr>
                <w:noProof/>
                <w:webHidden/>
              </w:rPr>
              <w:instrText xml:space="preserve"> PAGEREF _Toc520275067 \h </w:instrText>
            </w:r>
            <w:r w:rsidR="001709CA">
              <w:rPr>
                <w:noProof/>
                <w:webHidden/>
              </w:rPr>
            </w:r>
            <w:r w:rsidR="001709CA">
              <w:rPr>
                <w:noProof/>
                <w:webHidden/>
              </w:rPr>
              <w:fldChar w:fldCharType="separate"/>
            </w:r>
            <w:r w:rsidR="00A9092A">
              <w:rPr>
                <w:noProof/>
                <w:webHidden/>
              </w:rPr>
              <w:t>11</w:t>
            </w:r>
            <w:r w:rsidR="001709CA">
              <w:rPr>
                <w:noProof/>
                <w:webHidden/>
              </w:rPr>
              <w:fldChar w:fldCharType="end"/>
            </w:r>
          </w:hyperlink>
        </w:p>
        <w:p w14:paraId="19FB9CF9" w14:textId="4AFFF537" w:rsidR="001709CA" w:rsidRDefault="002A61DF">
          <w:pPr>
            <w:pStyle w:val="TOC1"/>
            <w:rPr>
              <w:rFonts w:asciiTheme="minorHAnsi" w:eastAsiaTheme="minorEastAsia" w:hAnsiTheme="minorHAnsi" w:cstheme="minorBidi"/>
              <w:noProof/>
              <w:color w:val="auto"/>
            </w:rPr>
          </w:pPr>
          <w:hyperlink w:anchor="_Toc520275068" w:history="1">
            <w:r w:rsidR="001709CA" w:rsidRPr="000C6409">
              <w:rPr>
                <w:rStyle w:val="Hyperlink"/>
                <w:noProof/>
              </w:rPr>
              <w:t>11.</w:t>
            </w:r>
            <w:r w:rsidR="001709CA">
              <w:rPr>
                <w:rFonts w:asciiTheme="minorHAnsi" w:eastAsiaTheme="minorEastAsia" w:hAnsiTheme="minorHAnsi" w:cstheme="minorBidi"/>
                <w:noProof/>
                <w:color w:val="auto"/>
              </w:rPr>
              <w:tab/>
            </w:r>
            <w:r w:rsidR="001709CA" w:rsidRPr="000C6409">
              <w:rPr>
                <w:rStyle w:val="Hyperlink"/>
                <w:noProof/>
              </w:rPr>
              <w:t>Communications</w:t>
            </w:r>
            <w:r w:rsidR="001709CA">
              <w:rPr>
                <w:noProof/>
                <w:webHidden/>
              </w:rPr>
              <w:tab/>
            </w:r>
            <w:r w:rsidR="001709CA">
              <w:rPr>
                <w:noProof/>
                <w:webHidden/>
              </w:rPr>
              <w:fldChar w:fldCharType="begin"/>
            </w:r>
            <w:r w:rsidR="001709CA">
              <w:rPr>
                <w:noProof/>
                <w:webHidden/>
              </w:rPr>
              <w:instrText xml:space="preserve"> PAGEREF _Toc520275068 \h </w:instrText>
            </w:r>
            <w:r w:rsidR="001709CA">
              <w:rPr>
                <w:noProof/>
                <w:webHidden/>
              </w:rPr>
            </w:r>
            <w:r w:rsidR="001709CA">
              <w:rPr>
                <w:noProof/>
                <w:webHidden/>
              </w:rPr>
              <w:fldChar w:fldCharType="separate"/>
            </w:r>
            <w:r w:rsidR="00A9092A">
              <w:rPr>
                <w:noProof/>
                <w:webHidden/>
              </w:rPr>
              <w:t>12</w:t>
            </w:r>
            <w:r w:rsidR="001709CA">
              <w:rPr>
                <w:noProof/>
                <w:webHidden/>
              </w:rPr>
              <w:fldChar w:fldCharType="end"/>
            </w:r>
          </w:hyperlink>
        </w:p>
        <w:p w14:paraId="64C1B5A0" w14:textId="3C3CDDC0" w:rsidR="001709CA" w:rsidRDefault="002A61DF">
          <w:pPr>
            <w:pStyle w:val="TOC1"/>
            <w:rPr>
              <w:rFonts w:asciiTheme="minorHAnsi" w:eastAsiaTheme="minorEastAsia" w:hAnsiTheme="minorHAnsi" w:cstheme="minorBidi"/>
              <w:noProof/>
              <w:color w:val="auto"/>
            </w:rPr>
          </w:pPr>
          <w:hyperlink w:anchor="_Toc520275069" w:history="1">
            <w:r w:rsidR="001709CA" w:rsidRPr="000C6409">
              <w:rPr>
                <w:rStyle w:val="Hyperlink"/>
                <w:noProof/>
              </w:rPr>
              <w:t>12.</w:t>
            </w:r>
            <w:r w:rsidR="001709CA">
              <w:rPr>
                <w:rFonts w:asciiTheme="minorHAnsi" w:eastAsiaTheme="minorEastAsia" w:hAnsiTheme="minorHAnsi" w:cstheme="minorBidi"/>
                <w:noProof/>
                <w:color w:val="auto"/>
              </w:rPr>
              <w:tab/>
            </w:r>
            <w:r w:rsidR="001709CA" w:rsidRPr="000C6409">
              <w:rPr>
                <w:rStyle w:val="Hyperlink"/>
                <w:noProof/>
              </w:rPr>
              <w:t>Review and Monitoring</w:t>
            </w:r>
            <w:r w:rsidR="001709CA">
              <w:rPr>
                <w:noProof/>
                <w:webHidden/>
              </w:rPr>
              <w:tab/>
            </w:r>
            <w:r w:rsidR="001709CA">
              <w:rPr>
                <w:noProof/>
                <w:webHidden/>
              </w:rPr>
              <w:fldChar w:fldCharType="begin"/>
            </w:r>
            <w:r w:rsidR="001709CA">
              <w:rPr>
                <w:noProof/>
                <w:webHidden/>
              </w:rPr>
              <w:instrText xml:space="preserve"> PAGEREF _Toc520275069 \h </w:instrText>
            </w:r>
            <w:r w:rsidR="001709CA">
              <w:rPr>
                <w:noProof/>
                <w:webHidden/>
              </w:rPr>
            </w:r>
            <w:r w:rsidR="001709CA">
              <w:rPr>
                <w:noProof/>
                <w:webHidden/>
              </w:rPr>
              <w:fldChar w:fldCharType="separate"/>
            </w:r>
            <w:r w:rsidR="00A9092A">
              <w:rPr>
                <w:noProof/>
                <w:webHidden/>
              </w:rPr>
              <w:t>13</w:t>
            </w:r>
            <w:r w:rsidR="001709CA">
              <w:rPr>
                <w:noProof/>
                <w:webHidden/>
              </w:rPr>
              <w:fldChar w:fldCharType="end"/>
            </w:r>
          </w:hyperlink>
        </w:p>
        <w:p w14:paraId="7661ABAA" w14:textId="77777777" w:rsidR="00CC4BA6" w:rsidRDefault="00487763" w:rsidP="00487763">
          <w:pPr>
            <w:pStyle w:val="TOC1"/>
          </w:pPr>
          <w:r>
            <w:rPr>
              <w:rFonts w:cs="Arial"/>
            </w:rPr>
            <w:fldChar w:fldCharType="end"/>
          </w:r>
        </w:p>
      </w:sdtContent>
    </w:sdt>
    <w:p w14:paraId="1C039238" w14:textId="77777777" w:rsidR="00CC4BA6" w:rsidRDefault="00CC4BA6">
      <w:pPr>
        <w:rPr>
          <w:rFonts w:ascii="Arial" w:eastAsia="Arial" w:hAnsi="Arial" w:cs="Arial"/>
        </w:rPr>
      </w:pPr>
    </w:p>
    <w:p w14:paraId="500D32C1" w14:textId="77777777" w:rsidR="00CC4BA6" w:rsidRDefault="00CC4BA6">
      <w:pPr>
        <w:pStyle w:val="Heading1"/>
        <w:spacing w:after="120" w:line="276" w:lineRule="auto"/>
        <w:ind w:left="360" w:hanging="360"/>
        <w:rPr>
          <w:color w:val="000000"/>
        </w:rPr>
      </w:pPr>
    </w:p>
    <w:p w14:paraId="2560E9BC" w14:textId="77777777" w:rsidR="00CC4BA6" w:rsidRDefault="001466D1">
      <w:r>
        <w:br w:type="page"/>
      </w:r>
    </w:p>
    <w:p w14:paraId="11F3A00D" w14:textId="77777777" w:rsidR="00CC4BA6" w:rsidRDefault="00CC4BA6">
      <w:pPr>
        <w:spacing w:line="276" w:lineRule="auto"/>
        <w:sectPr w:rsidR="00CC4BA6">
          <w:type w:val="continuous"/>
          <w:pgSz w:w="12240" w:h="15840"/>
          <w:pgMar w:top="1344" w:right="1134" w:bottom="1440" w:left="1134" w:header="0" w:footer="720" w:gutter="0"/>
          <w:cols w:space="720"/>
        </w:sectPr>
      </w:pPr>
    </w:p>
    <w:p w14:paraId="4A4FC287" w14:textId="77777777" w:rsidR="00CC4BA6" w:rsidRDefault="001466D1" w:rsidP="00487763">
      <w:pPr>
        <w:pStyle w:val="Heading1"/>
        <w:numPr>
          <w:ilvl w:val="0"/>
          <w:numId w:val="7"/>
        </w:numPr>
        <w:spacing w:before="0" w:line="264" w:lineRule="auto"/>
        <w:ind w:left="540" w:hanging="540"/>
        <w:rPr>
          <w:color w:val="000000"/>
        </w:rPr>
      </w:pPr>
      <w:bookmarkStart w:id="1" w:name="_Toc520275058"/>
      <w:r>
        <w:rPr>
          <w:color w:val="000000"/>
        </w:rPr>
        <w:lastRenderedPageBreak/>
        <w:t>Purpose</w:t>
      </w:r>
      <w:bookmarkEnd w:id="1"/>
    </w:p>
    <w:p w14:paraId="70E68A89" w14:textId="77777777" w:rsidR="00586E0A" w:rsidRPr="00586E0A" w:rsidRDefault="00586E0A" w:rsidP="00487763">
      <w:pPr>
        <w:spacing w:line="264" w:lineRule="auto"/>
        <w:rPr>
          <w:rFonts w:ascii="Arial" w:hAnsi="Arial" w:cs="Arial"/>
        </w:rPr>
      </w:pPr>
    </w:p>
    <w:p w14:paraId="575D8D46" w14:textId="77777777" w:rsidR="00CC4BA6" w:rsidRDefault="001466D1" w:rsidP="00487763">
      <w:pPr>
        <w:numPr>
          <w:ilvl w:val="1"/>
          <w:numId w:val="7"/>
        </w:numPr>
        <w:spacing w:line="264" w:lineRule="auto"/>
        <w:ind w:left="1260" w:hanging="693"/>
        <w:rPr>
          <w:rFonts w:ascii="Arial" w:eastAsia="Arial" w:hAnsi="Arial" w:cs="Arial"/>
        </w:rPr>
      </w:pPr>
      <w:r>
        <w:rPr>
          <w:rFonts w:ascii="Arial" w:eastAsia="Arial" w:hAnsi="Arial" w:cs="Arial"/>
          <w:b/>
        </w:rPr>
        <w:t>Application</w:t>
      </w:r>
    </w:p>
    <w:p w14:paraId="3B0198A9" w14:textId="77777777" w:rsidR="00CC4BA6" w:rsidRDefault="001466D1" w:rsidP="00487763">
      <w:pPr>
        <w:spacing w:before="120" w:line="264" w:lineRule="auto"/>
        <w:ind w:left="1260"/>
        <w:rPr>
          <w:rFonts w:ascii="Arial" w:eastAsia="Arial" w:hAnsi="Arial" w:cs="Arial"/>
        </w:rPr>
      </w:pPr>
      <w:r>
        <w:rPr>
          <w:rFonts w:ascii="Arial" w:eastAsia="Arial" w:hAnsi="Arial" w:cs="Arial"/>
        </w:rPr>
        <w:t xml:space="preserve">This Funding Policy (the "Policy") applies to the </w:t>
      </w:r>
      <w:r w:rsidR="001509F3">
        <w:rPr>
          <w:rFonts w:ascii="Arial" w:eastAsia="Arial" w:hAnsi="Arial" w:cs="Arial"/>
        </w:rPr>
        <w:t xml:space="preserve">Ontario Secondary School Teachers Federation </w:t>
      </w:r>
      <w:r>
        <w:rPr>
          <w:rFonts w:ascii="Arial" w:eastAsia="Arial" w:hAnsi="Arial" w:cs="Arial"/>
        </w:rPr>
        <w:t>(</w:t>
      </w:r>
      <w:r w:rsidR="001509F3">
        <w:rPr>
          <w:rFonts w:ascii="Arial" w:eastAsia="Arial" w:hAnsi="Arial" w:cs="Arial"/>
        </w:rPr>
        <w:t>OSSTF</w:t>
      </w:r>
      <w:r>
        <w:rPr>
          <w:rFonts w:ascii="Arial" w:eastAsia="Arial" w:hAnsi="Arial" w:cs="Arial"/>
        </w:rPr>
        <w:t>) Employees Life and Health Trust (the "</w:t>
      </w:r>
      <w:r w:rsidR="001509F3">
        <w:rPr>
          <w:rFonts w:ascii="Arial" w:eastAsia="Arial" w:hAnsi="Arial" w:cs="Arial"/>
        </w:rPr>
        <w:t>OSSTF Benefits</w:t>
      </w:r>
      <w:r>
        <w:rPr>
          <w:rFonts w:ascii="Arial" w:eastAsia="Arial" w:hAnsi="Arial" w:cs="Arial"/>
        </w:rPr>
        <w:t>” or “Trust").</w:t>
      </w:r>
      <w:r w:rsidR="001709CA">
        <w:rPr>
          <w:rFonts w:ascii="Arial" w:eastAsia="Arial" w:hAnsi="Arial" w:cs="Arial"/>
        </w:rPr>
        <w:t xml:space="preserve"> </w:t>
      </w:r>
      <w:r>
        <w:rPr>
          <w:rFonts w:ascii="Arial" w:eastAsia="Arial" w:hAnsi="Arial" w:cs="Arial"/>
        </w:rPr>
        <w:t xml:space="preserve">The Trust is governed by the Board of Trustees of the </w:t>
      </w:r>
      <w:r w:rsidR="001509F3">
        <w:rPr>
          <w:rFonts w:ascii="Arial" w:eastAsia="Arial" w:hAnsi="Arial" w:cs="Arial"/>
        </w:rPr>
        <w:t xml:space="preserve">Ontario Secondary School Teachers Federation </w:t>
      </w:r>
      <w:r>
        <w:rPr>
          <w:rFonts w:ascii="Arial" w:eastAsia="Arial" w:hAnsi="Arial" w:cs="Arial"/>
        </w:rPr>
        <w:t>Employees Life and Health Trust (the “Trustees”).</w:t>
      </w:r>
    </w:p>
    <w:p w14:paraId="474A6A41" w14:textId="77777777" w:rsidR="00586E0A" w:rsidRDefault="00586E0A" w:rsidP="00487763">
      <w:pPr>
        <w:spacing w:line="264" w:lineRule="auto"/>
        <w:ind w:left="1080"/>
        <w:rPr>
          <w:rFonts w:ascii="Arial" w:eastAsia="Arial" w:hAnsi="Arial" w:cs="Arial"/>
        </w:rPr>
      </w:pPr>
    </w:p>
    <w:p w14:paraId="0CDB17CF" w14:textId="77777777" w:rsidR="00CC4BA6" w:rsidRDefault="001466D1" w:rsidP="00487763">
      <w:pPr>
        <w:numPr>
          <w:ilvl w:val="1"/>
          <w:numId w:val="7"/>
        </w:numPr>
        <w:spacing w:line="264" w:lineRule="auto"/>
        <w:ind w:left="1260" w:hanging="693"/>
        <w:rPr>
          <w:rFonts w:ascii="Arial" w:eastAsia="Arial" w:hAnsi="Arial" w:cs="Arial"/>
        </w:rPr>
      </w:pPr>
      <w:r>
        <w:rPr>
          <w:rFonts w:ascii="Arial" w:eastAsia="Arial" w:hAnsi="Arial" w:cs="Arial"/>
          <w:b/>
        </w:rPr>
        <w:t>Purpose</w:t>
      </w:r>
    </w:p>
    <w:p w14:paraId="4C2D0BA8" w14:textId="3579E051" w:rsidR="00CC4BA6" w:rsidRDefault="001466D1" w:rsidP="00487763">
      <w:pPr>
        <w:spacing w:before="120" w:line="264" w:lineRule="auto"/>
        <w:ind w:left="1260"/>
        <w:rPr>
          <w:rFonts w:ascii="Arial" w:eastAsia="Arial" w:hAnsi="Arial" w:cs="Arial"/>
        </w:rPr>
      </w:pPr>
      <w:r>
        <w:rPr>
          <w:rFonts w:ascii="Arial" w:eastAsia="Arial" w:hAnsi="Arial" w:cs="Arial"/>
        </w:rPr>
        <w:t xml:space="preserve">This Policy outlines the framework for the prudent long-term financial management of the Trust. The purpose of the Policy is to </w:t>
      </w:r>
      <w:r w:rsidR="00C062F4" w:rsidRPr="00A9092A">
        <w:rPr>
          <w:rFonts w:ascii="Arial" w:eastAsia="Arial" w:hAnsi="Arial" w:cs="Arial"/>
        </w:rPr>
        <w:t>guide</w:t>
      </w:r>
      <w:r w:rsidR="00C062F4" w:rsidRPr="00C062F4">
        <w:rPr>
          <w:rFonts w:ascii="Arial" w:eastAsia="Arial" w:hAnsi="Arial" w:cs="Arial"/>
          <w:b/>
          <w:i/>
        </w:rPr>
        <w:t xml:space="preserve"> </w:t>
      </w:r>
      <w:r>
        <w:rPr>
          <w:rFonts w:ascii="Arial" w:eastAsia="Arial" w:hAnsi="Arial" w:cs="Arial"/>
        </w:rPr>
        <w:t>the</w:t>
      </w:r>
      <w:r w:rsidR="004B252D">
        <w:rPr>
          <w:rFonts w:ascii="Arial" w:eastAsia="Arial" w:hAnsi="Arial" w:cs="Arial"/>
        </w:rPr>
        <w:t xml:space="preserve"> Trustees'</w:t>
      </w:r>
      <w:r>
        <w:rPr>
          <w:rFonts w:ascii="Arial" w:eastAsia="Arial" w:hAnsi="Arial" w:cs="Arial"/>
        </w:rPr>
        <w:t xml:space="preserve"> decision-making process </w:t>
      </w:r>
      <w:r w:rsidR="004B252D">
        <w:rPr>
          <w:rFonts w:ascii="Arial" w:eastAsia="Arial" w:hAnsi="Arial" w:cs="Arial"/>
        </w:rPr>
        <w:t xml:space="preserve">in regard to the Trust's </w:t>
      </w:r>
      <w:r>
        <w:rPr>
          <w:rFonts w:ascii="Arial" w:eastAsia="Arial" w:hAnsi="Arial" w:cs="Arial"/>
        </w:rPr>
        <w:t xml:space="preserve">funded status </w:t>
      </w:r>
      <w:r w:rsidR="004B252D">
        <w:rPr>
          <w:rFonts w:ascii="Arial" w:eastAsia="Arial" w:hAnsi="Arial" w:cs="Arial"/>
        </w:rPr>
        <w:t>so as to achieve the Trust's</w:t>
      </w:r>
      <w:r>
        <w:rPr>
          <w:rFonts w:ascii="Arial" w:eastAsia="Arial" w:hAnsi="Arial" w:cs="Arial"/>
        </w:rPr>
        <w:t xml:space="preserve"> primary goal that </w:t>
      </w:r>
      <w:r w:rsidR="003F5EF4">
        <w:rPr>
          <w:rFonts w:ascii="Arial" w:eastAsia="Arial" w:hAnsi="Arial" w:cs="Arial"/>
        </w:rPr>
        <w:t xml:space="preserve">its </w:t>
      </w:r>
      <w:r>
        <w:rPr>
          <w:rFonts w:ascii="Arial" w:eastAsia="Arial" w:hAnsi="Arial" w:cs="Arial"/>
        </w:rPr>
        <w:t xml:space="preserve">assets and </w:t>
      </w:r>
      <w:r w:rsidR="003F5EF4">
        <w:rPr>
          <w:rFonts w:ascii="Arial" w:eastAsia="Arial" w:hAnsi="Arial" w:cs="Arial"/>
        </w:rPr>
        <w:t xml:space="preserve">the </w:t>
      </w:r>
      <w:r>
        <w:rPr>
          <w:rFonts w:ascii="Arial" w:eastAsia="Arial" w:hAnsi="Arial" w:cs="Arial"/>
        </w:rPr>
        <w:t xml:space="preserve">expected contributions </w:t>
      </w:r>
      <w:r w:rsidR="005C688D">
        <w:rPr>
          <w:rFonts w:ascii="Arial" w:eastAsia="Arial" w:hAnsi="Arial" w:cs="Arial"/>
        </w:rPr>
        <w:t xml:space="preserve">to </w:t>
      </w:r>
      <w:r>
        <w:rPr>
          <w:rFonts w:ascii="Arial" w:eastAsia="Arial" w:hAnsi="Arial" w:cs="Arial"/>
        </w:rPr>
        <w:t>the Trust are sufficient to meet obligations as they fall due.</w:t>
      </w:r>
    </w:p>
    <w:p w14:paraId="7725135B" w14:textId="77777777" w:rsidR="002771A9" w:rsidRDefault="002771A9" w:rsidP="00487763">
      <w:pPr>
        <w:spacing w:line="264" w:lineRule="auto"/>
        <w:ind w:left="1260"/>
        <w:rPr>
          <w:rFonts w:ascii="Arial" w:eastAsia="Arial" w:hAnsi="Arial" w:cs="Arial"/>
        </w:rPr>
      </w:pPr>
    </w:p>
    <w:p w14:paraId="64647667" w14:textId="15393F03" w:rsidR="00CC4BA6" w:rsidRDefault="001466D1" w:rsidP="00487763">
      <w:pPr>
        <w:spacing w:line="264" w:lineRule="auto"/>
        <w:ind w:left="1260"/>
        <w:rPr>
          <w:rFonts w:ascii="Arial" w:eastAsia="Arial" w:hAnsi="Arial" w:cs="Arial"/>
        </w:rPr>
      </w:pPr>
      <w:r>
        <w:rPr>
          <w:rFonts w:ascii="Arial" w:eastAsia="Arial" w:hAnsi="Arial" w:cs="Arial"/>
        </w:rPr>
        <w:t xml:space="preserve">The policy principles described herein are intended to be used as guidelines for establishing funding requirements. Notwithstanding anything to the contrary in this Funding Policy, the Trust will comply with all applicable legislation and regulatory </w:t>
      </w:r>
      <w:r w:rsidR="003F5EF4">
        <w:rPr>
          <w:rFonts w:ascii="Arial" w:eastAsia="Arial" w:hAnsi="Arial" w:cs="Arial"/>
        </w:rPr>
        <w:t>requirements</w:t>
      </w:r>
      <w:r>
        <w:rPr>
          <w:rFonts w:ascii="Arial" w:eastAsia="Arial" w:hAnsi="Arial" w:cs="Arial"/>
        </w:rPr>
        <w:t>.</w:t>
      </w:r>
    </w:p>
    <w:p w14:paraId="7D1F406E" w14:textId="77777777" w:rsidR="00CC4BA6" w:rsidRDefault="00CC4BA6" w:rsidP="00487763">
      <w:pPr>
        <w:spacing w:line="264" w:lineRule="auto"/>
        <w:ind w:left="1080"/>
        <w:rPr>
          <w:rFonts w:ascii="Arial" w:eastAsia="Arial" w:hAnsi="Arial" w:cs="Arial"/>
          <w:b/>
        </w:rPr>
      </w:pPr>
    </w:p>
    <w:p w14:paraId="32F7B532" w14:textId="77777777" w:rsidR="00CC4BA6" w:rsidRDefault="001466D1" w:rsidP="00487763">
      <w:pPr>
        <w:numPr>
          <w:ilvl w:val="1"/>
          <w:numId w:val="7"/>
        </w:numPr>
        <w:spacing w:line="264" w:lineRule="auto"/>
        <w:ind w:left="1260" w:hanging="693"/>
        <w:rPr>
          <w:rFonts w:ascii="Arial" w:eastAsia="Arial" w:hAnsi="Arial" w:cs="Arial"/>
        </w:rPr>
      </w:pPr>
      <w:r>
        <w:rPr>
          <w:rFonts w:ascii="Arial" w:eastAsia="Arial" w:hAnsi="Arial" w:cs="Arial"/>
          <w:b/>
        </w:rPr>
        <w:t>Responsibility</w:t>
      </w:r>
    </w:p>
    <w:p w14:paraId="63EF151B" w14:textId="77777777" w:rsidR="00CC4BA6" w:rsidRDefault="001466D1" w:rsidP="00487763">
      <w:pPr>
        <w:spacing w:before="120" w:line="264" w:lineRule="auto"/>
        <w:ind w:left="1260"/>
        <w:rPr>
          <w:rFonts w:ascii="Arial" w:eastAsia="Arial" w:hAnsi="Arial" w:cs="Arial"/>
        </w:rPr>
      </w:pPr>
      <w:r>
        <w:rPr>
          <w:rFonts w:ascii="Arial" w:eastAsia="Arial" w:hAnsi="Arial" w:cs="Arial"/>
        </w:rPr>
        <w:t>The Trustees have ultimate responsibility for the operation of the Trust.</w:t>
      </w:r>
    </w:p>
    <w:p w14:paraId="660993C2" w14:textId="77777777" w:rsidR="00CC4BA6" w:rsidRDefault="001466D1" w:rsidP="00487763">
      <w:pPr>
        <w:spacing w:line="264" w:lineRule="auto"/>
        <w:ind w:left="1260"/>
        <w:rPr>
          <w:rFonts w:ascii="Arial" w:eastAsia="Arial" w:hAnsi="Arial" w:cs="Arial"/>
        </w:rPr>
      </w:pPr>
      <w:r>
        <w:rPr>
          <w:rFonts w:ascii="Arial" w:eastAsia="Arial" w:hAnsi="Arial" w:cs="Arial"/>
        </w:rPr>
        <w:t>With respect to the financial management of the Trust, and in addition to those responsibilities described in any other Trustee policy, the specific responsibilities of the Trustees as they relate to funding of the Trust are:</w:t>
      </w:r>
    </w:p>
    <w:p w14:paraId="18766959" w14:textId="50330FDC" w:rsidR="00CC4BA6" w:rsidRDefault="001466D1" w:rsidP="00487763">
      <w:pPr>
        <w:numPr>
          <w:ilvl w:val="0"/>
          <w:numId w:val="8"/>
        </w:numPr>
        <w:spacing w:before="120" w:line="264" w:lineRule="auto"/>
        <w:ind w:left="1663" w:hanging="403"/>
        <w:rPr>
          <w:rFonts w:ascii="Arial" w:eastAsia="Arial" w:hAnsi="Arial" w:cs="Arial"/>
        </w:rPr>
      </w:pPr>
      <w:r>
        <w:rPr>
          <w:rFonts w:ascii="Arial" w:eastAsia="Arial" w:hAnsi="Arial" w:cs="Arial"/>
        </w:rPr>
        <w:t xml:space="preserve">To ensure proper funding such that assets and expected contributions are sufficient to meet </w:t>
      </w:r>
      <w:r w:rsidR="003F5EF4">
        <w:rPr>
          <w:rFonts w:ascii="Arial" w:eastAsia="Arial" w:hAnsi="Arial" w:cs="Arial"/>
        </w:rPr>
        <w:t xml:space="preserve">the </w:t>
      </w:r>
      <w:r>
        <w:rPr>
          <w:rFonts w:ascii="Arial" w:eastAsia="Arial" w:hAnsi="Arial" w:cs="Arial"/>
        </w:rPr>
        <w:t xml:space="preserve">obligations </w:t>
      </w:r>
      <w:r w:rsidR="003F5EF4">
        <w:rPr>
          <w:rFonts w:ascii="Arial" w:eastAsia="Arial" w:hAnsi="Arial" w:cs="Arial"/>
        </w:rPr>
        <w:t>of the Trust</w:t>
      </w:r>
      <w:r>
        <w:rPr>
          <w:rFonts w:ascii="Arial" w:eastAsia="Arial" w:hAnsi="Arial" w:cs="Arial"/>
        </w:rPr>
        <w:t>;</w:t>
      </w:r>
    </w:p>
    <w:p w14:paraId="11B43614" w14:textId="51F4467C" w:rsidR="00CC4BA6" w:rsidRDefault="001466D1" w:rsidP="00487763">
      <w:pPr>
        <w:numPr>
          <w:ilvl w:val="0"/>
          <w:numId w:val="8"/>
        </w:numPr>
        <w:spacing w:before="120" w:line="264" w:lineRule="auto"/>
        <w:ind w:left="1663" w:hanging="403"/>
        <w:rPr>
          <w:rFonts w:ascii="Arial" w:eastAsia="Arial" w:hAnsi="Arial" w:cs="Arial"/>
        </w:rPr>
      </w:pPr>
      <w:r>
        <w:rPr>
          <w:rFonts w:ascii="Arial" w:eastAsia="Arial" w:hAnsi="Arial" w:cs="Arial"/>
        </w:rPr>
        <w:t xml:space="preserve">To have actuarial valuations and projections prepared to assist funding policy decisions; </w:t>
      </w:r>
    </w:p>
    <w:p w14:paraId="498B6054" w14:textId="77777777" w:rsidR="00916BDD" w:rsidRDefault="00916BDD" w:rsidP="00487763">
      <w:pPr>
        <w:numPr>
          <w:ilvl w:val="0"/>
          <w:numId w:val="8"/>
        </w:numPr>
        <w:spacing w:before="120" w:line="264" w:lineRule="auto"/>
        <w:ind w:left="1663" w:hanging="403"/>
        <w:rPr>
          <w:rFonts w:ascii="Arial" w:eastAsia="Arial" w:hAnsi="Arial" w:cs="Arial"/>
        </w:rPr>
      </w:pPr>
      <w:r>
        <w:rPr>
          <w:rFonts w:ascii="Arial" w:eastAsia="Arial" w:hAnsi="Arial" w:cs="Arial"/>
        </w:rPr>
        <w:t>To make and implement decisions regarding plan administration or delivery costs, and investment expenses;</w:t>
      </w:r>
    </w:p>
    <w:p w14:paraId="02FB3FCD" w14:textId="77777777" w:rsidR="00CC4BA6" w:rsidRDefault="001466D1" w:rsidP="00487763">
      <w:pPr>
        <w:numPr>
          <w:ilvl w:val="0"/>
          <w:numId w:val="8"/>
        </w:numPr>
        <w:spacing w:before="120" w:line="264" w:lineRule="auto"/>
        <w:ind w:left="1663" w:hanging="403"/>
        <w:rPr>
          <w:rFonts w:ascii="Arial" w:eastAsia="Arial" w:hAnsi="Arial" w:cs="Arial"/>
        </w:rPr>
      </w:pPr>
      <w:r>
        <w:rPr>
          <w:rFonts w:ascii="Arial" w:eastAsia="Arial" w:hAnsi="Arial" w:cs="Arial"/>
        </w:rPr>
        <w:t xml:space="preserve">To make and implement decisions regarding </w:t>
      </w:r>
      <w:r w:rsidR="00916BDD">
        <w:rPr>
          <w:rFonts w:ascii="Arial" w:eastAsia="Arial" w:hAnsi="Arial" w:cs="Arial"/>
        </w:rPr>
        <w:t xml:space="preserve">eligibility for benefits under Plans administered by the Trustees and </w:t>
      </w:r>
      <w:r>
        <w:rPr>
          <w:rFonts w:ascii="Arial" w:eastAsia="Arial" w:hAnsi="Arial" w:cs="Arial"/>
        </w:rPr>
        <w:t>the setting of Trust benefit provisions, including any enhancements or reductions to benefits</w:t>
      </w:r>
      <w:r w:rsidR="00231D97">
        <w:rPr>
          <w:rFonts w:ascii="Arial" w:eastAsia="Arial" w:hAnsi="Arial" w:cs="Arial"/>
        </w:rPr>
        <w:t xml:space="preserve"> and </w:t>
      </w:r>
      <w:r w:rsidR="00C82CD2">
        <w:rPr>
          <w:rFonts w:ascii="Arial" w:eastAsia="Arial" w:hAnsi="Arial" w:cs="Arial"/>
        </w:rPr>
        <w:t xml:space="preserve">changing the level of </w:t>
      </w:r>
      <w:r w:rsidR="00231D97">
        <w:rPr>
          <w:rFonts w:ascii="Arial" w:eastAsia="Arial" w:hAnsi="Arial" w:cs="Arial"/>
        </w:rPr>
        <w:t>plan member contributions</w:t>
      </w:r>
      <w:r>
        <w:rPr>
          <w:rFonts w:ascii="Arial" w:eastAsia="Arial" w:hAnsi="Arial" w:cs="Arial"/>
        </w:rPr>
        <w:t>.</w:t>
      </w:r>
    </w:p>
    <w:p w14:paraId="7BCB414F" w14:textId="77777777" w:rsidR="00CC4BA6" w:rsidRDefault="001466D1" w:rsidP="00487763">
      <w:pPr>
        <w:spacing w:line="264" w:lineRule="auto"/>
      </w:pPr>
      <w:r>
        <w:br w:type="page"/>
      </w:r>
    </w:p>
    <w:p w14:paraId="3F95697D" w14:textId="77777777" w:rsidR="00CC4BA6" w:rsidRPr="002771A9" w:rsidRDefault="001466D1" w:rsidP="00487763">
      <w:pPr>
        <w:pStyle w:val="Heading1"/>
        <w:numPr>
          <w:ilvl w:val="0"/>
          <w:numId w:val="7"/>
        </w:numPr>
        <w:spacing w:before="0" w:line="264" w:lineRule="auto"/>
        <w:ind w:left="540" w:hanging="540"/>
        <w:rPr>
          <w:color w:val="000000"/>
          <w:sz w:val="22"/>
        </w:rPr>
      </w:pPr>
      <w:bookmarkStart w:id="2" w:name="_Toc520275059"/>
      <w:r>
        <w:rPr>
          <w:color w:val="000000"/>
        </w:rPr>
        <w:lastRenderedPageBreak/>
        <w:t>Policy Considerations</w:t>
      </w:r>
      <w:bookmarkEnd w:id="2"/>
    </w:p>
    <w:p w14:paraId="61FCBFA4" w14:textId="77777777" w:rsidR="002771A9" w:rsidRPr="002771A9" w:rsidRDefault="002771A9" w:rsidP="00487763">
      <w:pPr>
        <w:spacing w:line="264" w:lineRule="auto"/>
        <w:ind w:left="576"/>
        <w:rPr>
          <w:rFonts w:ascii="Arial" w:eastAsia="Arial" w:hAnsi="Arial" w:cs="Arial"/>
        </w:rPr>
      </w:pPr>
    </w:p>
    <w:p w14:paraId="3850F19C" w14:textId="77777777" w:rsidR="00CC4BA6" w:rsidRDefault="001466D1" w:rsidP="00487763">
      <w:pPr>
        <w:numPr>
          <w:ilvl w:val="1"/>
          <w:numId w:val="7"/>
        </w:numPr>
        <w:spacing w:line="264" w:lineRule="auto"/>
        <w:ind w:left="1260" w:hanging="684"/>
        <w:rPr>
          <w:rFonts w:ascii="Arial" w:eastAsia="Arial" w:hAnsi="Arial" w:cs="Arial"/>
        </w:rPr>
      </w:pPr>
      <w:r>
        <w:rPr>
          <w:rFonts w:ascii="Arial" w:eastAsia="Arial" w:hAnsi="Arial" w:cs="Arial"/>
          <w:b/>
        </w:rPr>
        <w:t>Nature of the Trust</w:t>
      </w:r>
    </w:p>
    <w:p w14:paraId="1451D141" w14:textId="77777777" w:rsidR="003F5EF4" w:rsidRDefault="001466D1" w:rsidP="00487763">
      <w:pPr>
        <w:spacing w:before="120" w:line="264" w:lineRule="auto"/>
        <w:ind w:left="1267"/>
        <w:rPr>
          <w:rFonts w:ascii="Arial" w:eastAsia="Arial" w:hAnsi="Arial" w:cs="Arial"/>
        </w:rPr>
      </w:pPr>
      <w:r>
        <w:rPr>
          <w:rFonts w:ascii="Arial" w:eastAsia="Arial" w:hAnsi="Arial" w:cs="Arial"/>
        </w:rPr>
        <w:t xml:space="preserve">The Trust was the result of negotiations between the </w:t>
      </w:r>
      <w:r w:rsidR="001509F3">
        <w:rPr>
          <w:rFonts w:ascii="Arial" w:eastAsia="Arial" w:hAnsi="Arial" w:cs="Arial"/>
        </w:rPr>
        <w:t>Ontario Secondary School Teachers Federation</w:t>
      </w:r>
      <w:r>
        <w:rPr>
          <w:rFonts w:ascii="Arial" w:eastAsia="Arial" w:hAnsi="Arial" w:cs="Arial"/>
        </w:rPr>
        <w:t xml:space="preserve">, the Ontario Government </w:t>
      </w:r>
      <w:r w:rsidR="007A09B2">
        <w:rPr>
          <w:rFonts w:ascii="Arial" w:eastAsia="Arial" w:hAnsi="Arial" w:cs="Arial"/>
        </w:rPr>
        <w:t xml:space="preserve">(the “Crown”) </w:t>
      </w:r>
      <w:r>
        <w:rPr>
          <w:rFonts w:ascii="Arial" w:eastAsia="Arial" w:hAnsi="Arial" w:cs="Arial"/>
        </w:rPr>
        <w:t>and the Ontario Public School Board</w:t>
      </w:r>
      <w:r w:rsidR="001509F3">
        <w:rPr>
          <w:rFonts w:ascii="Arial" w:eastAsia="Arial" w:hAnsi="Arial" w:cs="Arial"/>
        </w:rPr>
        <w:t>s’</w:t>
      </w:r>
      <w:r>
        <w:rPr>
          <w:rFonts w:ascii="Arial" w:eastAsia="Arial" w:hAnsi="Arial" w:cs="Arial"/>
        </w:rPr>
        <w:t xml:space="preserve"> Association</w:t>
      </w:r>
      <w:r w:rsidR="001509F3">
        <w:rPr>
          <w:rFonts w:ascii="Arial" w:eastAsia="Arial" w:hAnsi="Arial" w:cs="Arial"/>
        </w:rPr>
        <w:t xml:space="preserve"> (OPSBA)</w:t>
      </w:r>
      <w:r>
        <w:rPr>
          <w:rFonts w:ascii="Arial" w:eastAsia="Arial" w:hAnsi="Arial" w:cs="Arial"/>
        </w:rPr>
        <w:t xml:space="preserve">. The parties agreed to a fixed </w:t>
      </w:r>
      <w:r w:rsidR="00916BDD">
        <w:rPr>
          <w:rFonts w:ascii="Arial" w:eastAsia="Arial" w:hAnsi="Arial" w:cs="Arial"/>
        </w:rPr>
        <w:t xml:space="preserve">collectively bargained employer </w:t>
      </w:r>
      <w:r>
        <w:rPr>
          <w:rFonts w:ascii="Arial" w:eastAsia="Arial" w:hAnsi="Arial" w:cs="Arial"/>
        </w:rPr>
        <w:t xml:space="preserve">contribution rate plus additional funding in respect of implementation costs and to establish a Claims Fluctuation Reserve. </w:t>
      </w:r>
    </w:p>
    <w:p w14:paraId="21D56D74" w14:textId="0A330478" w:rsidR="00CC4BA6" w:rsidRDefault="001509F3" w:rsidP="00487763">
      <w:pPr>
        <w:spacing w:before="120" w:line="264" w:lineRule="auto"/>
        <w:ind w:left="1267"/>
        <w:rPr>
          <w:rFonts w:ascii="Arial" w:eastAsia="Arial" w:hAnsi="Arial" w:cs="Arial"/>
        </w:rPr>
      </w:pPr>
      <w:r>
        <w:rPr>
          <w:rFonts w:ascii="Arial" w:eastAsia="Arial" w:hAnsi="Arial" w:cs="Arial"/>
        </w:rPr>
        <w:t xml:space="preserve">OSSTF Benefits </w:t>
      </w:r>
      <w:r w:rsidR="001466D1">
        <w:rPr>
          <w:rFonts w:ascii="Arial" w:eastAsia="Arial" w:hAnsi="Arial" w:cs="Arial"/>
        </w:rPr>
        <w:t xml:space="preserve">was established on </w:t>
      </w:r>
      <w:r>
        <w:rPr>
          <w:rFonts w:ascii="Arial" w:eastAsia="Arial" w:hAnsi="Arial" w:cs="Arial"/>
        </w:rPr>
        <w:t>October 6</w:t>
      </w:r>
      <w:r w:rsidR="001466D1">
        <w:rPr>
          <w:rFonts w:ascii="Arial" w:eastAsia="Arial" w:hAnsi="Arial" w:cs="Arial"/>
        </w:rPr>
        <w:t xml:space="preserve">, 2016 and is an independent trust for the sole purpose of providing designated employee benefits </w:t>
      </w:r>
      <w:r w:rsidR="00817ACA">
        <w:rPr>
          <w:rFonts w:ascii="Arial" w:eastAsia="Arial" w:hAnsi="Arial" w:cs="Arial"/>
        </w:rPr>
        <w:t xml:space="preserve">for the Trust's beneficiaries </w:t>
      </w:r>
      <w:r w:rsidR="001466D1">
        <w:rPr>
          <w:rFonts w:ascii="Arial" w:eastAsia="Arial" w:hAnsi="Arial" w:cs="Arial"/>
        </w:rPr>
        <w:t xml:space="preserve">as outlined below and in the Trust </w:t>
      </w:r>
      <w:r w:rsidR="00817ACA">
        <w:rPr>
          <w:rFonts w:ascii="Arial" w:eastAsia="Arial" w:hAnsi="Arial" w:cs="Arial"/>
        </w:rPr>
        <w:t>A</w:t>
      </w:r>
      <w:r w:rsidR="001466D1">
        <w:rPr>
          <w:rFonts w:ascii="Arial" w:eastAsia="Arial" w:hAnsi="Arial" w:cs="Arial"/>
        </w:rPr>
        <w:t xml:space="preserve">greement. Expenses associated with the management and administration of the Trust </w:t>
      </w:r>
      <w:r w:rsidR="0039654A">
        <w:rPr>
          <w:rFonts w:ascii="Arial" w:eastAsia="Arial" w:hAnsi="Arial" w:cs="Arial"/>
        </w:rPr>
        <w:t xml:space="preserve">will </w:t>
      </w:r>
      <w:r w:rsidR="001466D1">
        <w:rPr>
          <w:rFonts w:ascii="Arial" w:eastAsia="Arial" w:hAnsi="Arial" w:cs="Arial"/>
        </w:rPr>
        <w:t>be paid from the Trust.</w:t>
      </w:r>
    </w:p>
    <w:p w14:paraId="13D4AF85" w14:textId="77777777" w:rsidR="002771A9" w:rsidRPr="002771A9" w:rsidRDefault="002771A9" w:rsidP="00487763">
      <w:pPr>
        <w:spacing w:line="264" w:lineRule="auto"/>
        <w:ind w:left="360"/>
        <w:rPr>
          <w:rFonts w:ascii="Arial" w:eastAsia="Arial" w:hAnsi="Arial" w:cs="Arial"/>
        </w:rPr>
      </w:pPr>
    </w:p>
    <w:p w14:paraId="615E3384" w14:textId="77777777" w:rsidR="00CC4BA6" w:rsidRDefault="001466D1" w:rsidP="00487763">
      <w:pPr>
        <w:numPr>
          <w:ilvl w:val="1"/>
          <w:numId w:val="7"/>
        </w:numPr>
        <w:spacing w:line="264" w:lineRule="auto"/>
        <w:ind w:left="1260" w:hanging="684"/>
        <w:rPr>
          <w:rFonts w:ascii="Arial" w:eastAsia="Arial" w:hAnsi="Arial" w:cs="Arial"/>
        </w:rPr>
      </w:pPr>
      <w:r>
        <w:rPr>
          <w:rFonts w:ascii="Arial" w:eastAsia="Arial" w:hAnsi="Arial" w:cs="Arial"/>
          <w:b/>
        </w:rPr>
        <w:t>Liability Structure</w:t>
      </w:r>
    </w:p>
    <w:p w14:paraId="75EB439D" w14:textId="77777777" w:rsidR="00CC4BA6" w:rsidRDefault="001466D1" w:rsidP="00487763">
      <w:pPr>
        <w:numPr>
          <w:ilvl w:val="0"/>
          <w:numId w:val="1"/>
        </w:numPr>
        <w:spacing w:before="120" w:line="264" w:lineRule="auto"/>
        <w:ind w:left="1627" w:hanging="360"/>
        <w:rPr>
          <w:rFonts w:ascii="Arial" w:eastAsia="Arial" w:hAnsi="Arial" w:cs="Arial"/>
        </w:rPr>
      </w:pPr>
      <w:r>
        <w:rPr>
          <w:rFonts w:ascii="Arial" w:eastAsia="Arial" w:hAnsi="Arial" w:cs="Arial"/>
        </w:rPr>
        <w:t xml:space="preserve">Trust Membership </w:t>
      </w:r>
    </w:p>
    <w:p w14:paraId="5D8DD71E" w14:textId="1BDDAABF" w:rsidR="00CC4BA6" w:rsidRDefault="001466D1" w:rsidP="00487763">
      <w:pPr>
        <w:spacing w:before="60" w:line="264" w:lineRule="auto"/>
        <w:ind w:left="1627"/>
        <w:rPr>
          <w:rFonts w:ascii="Arial" w:eastAsia="Arial" w:hAnsi="Arial" w:cs="Arial"/>
        </w:rPr>
      </w:pPr>
      <w:r>
        <w:rPr>
          <w:rFonts w:ascii="Arial" w:eastAsia="Arial" w:hAnsi="Arial" w:cs="Arial"/>
        </w:rPr>
        <w:t xml:space="preserve">The Trust provides benefits to </w:t>
      </w:r>
      <w:r w:rsidR="00C062F4" w:rsidRPr="00A9092A">
        <w:rPr>
          <w:rFonts w:ascii="Arial" w:eastAsia="Arial" w:hAnsi="Arial" w:cs="Arial"/>
        </w:rPr>
        <w:t xml:space="preserve">eligible </w:t>
      </w:r>
      <w:r>
        <w:rPr>
          <w:rFonts w:ascii="Arial" w:eastAsia="Arial" w:hAnsi="Arial" w:cs="Arial"/>
        </w:rPr>
        <w:t xml:space="preserve">individuals represented by the </w:t>
      </w:r>
      <w:r w:rsidR="001509F3">
        <w:rPr>
          <w:rFonts w:ascii="Arial" w:eastAsia="Arial" w:hAnsi="Arial" w:cs="Arial"/>
        </w:rPr>
        <w:t>Ontario Secondary School Teachers Federation</w:t>
      </w:r>
      <w:r>
        <w:rPr>
          <w:rFonts w:ascii="Arial" w:eastAsia="Arial" w:hAnsi="Arial" w:cs="Arial"/>
        </w:rPr>
        <w:t>.</w:t>
      </w:r>
      <w:r w:rsidR="001709CA">
        <w:rPr>
          <w:rFonts w:ascii="Arial" w:eastAsia="Arial" w:hAnsi="Arial" w:cs="Arial"/>
        </w:rPr>
        <w:t xml:space="preserve"> </w:t>
      </w:r>
      <w:r>
        <w:rPr>
          <w:rFonts w:ascii="Arial" w:eastAsia="Arial" w:hAnsi="Arial" w:cs="Arial"/>
        </w:rPr>
        <w:t>Each Ontario school board will provide data to the Trust for purposes of administering the Trust.</w:t>
      </w:r>
      <w:r w:rsidR="001709CA">
        <w:rPr>
          <w:rFonts w:ascii="Arial" w:eastAsia="Arial" w:hAnsi="Arial" w:cs="Arial"/>
        </w:rPr>
        <w:t xml:space="preserve"> </w:t>
      </w:r>
    </w:p>
    <w:p w14:paraId="2582881F" w14:textId="77777777" w:rsidR="00CC4BA6" w:rsidRDefault="001466D1" w:rsidP="00487763">
      <w:pPr>
        <w:numPr>
          <w:ilvl w:val="0"/>
          <w:numId w:val="1"/>
        </w:numPr>
        <w:spacing w:before="120" w:line="264" w:lineRule="auto"/>
        <w:ind w:left="1627" w:hanging="360"/>
        <w:rPr>
          <w:rFonts w:ascii="Arial" w:eastAsia="Arial" w:hAnsi="Arial" w:cs="Arial"/>
        </w:rPr>
      </w:pPr>
      <w:r>
        <w:rPr>
          <w:rFonts w:ascii="Arial" w:eastAsia="Arial" w:hAnsi="Arial" w:cs="Arial"/>
        </w:rPr>
        <w:t>Benefits</w:t>
      </w:r>
    </w:p>
    <w:p w14:paraId="1BACC828" w14:textId="77777777" w:rsidR="00CC4BA6" w:rsidRDefault="001466D1" w:rsidP="00487763">
      <w:pPr>
        <w:spacing w:before="60" w:line="264" w:lineRule="auto"/>
        <w:ind w:left="1627"/>
        <w:rPr>
          <w:rFonts w:ascii="Arial" w:eastAsia="Arial" w:hAnsi="Arial" w:cs="Arial"/>
        </w:rPr>
      </w:pPr>
      <w:r>
        <w:rPr>
          <w:rFonts w:ascii="Arial" w:eastAsia="Arial" w:hAnsi="Arial" w:cs="Arial"/>
        </w:rPr>
        <w:t>The Trust provides for designated employee health and dental benefits and life insurance benefits including accidental death and dismemberment, medical second opinion and navigational support benefits.</w:t>
      </w:r>
      <w:r w:rsidR="001709CA">
        <w:rPr>
          <w:rFonts w:ascii="Arial" w:eastAsia="Arial" w:hAnsi="Arial" w:cs="Arial"/>
        </w:rPr>
        <w:t xml:space="preserve">  </w:t>
      </w:r>
    </w:p>
    <w:p w14:paraId="4E877787" w14:textId="77777777" w:rsidR="00CC4BA6" w:rsidRDefault="001466D1" w:rsidP="00487763">
      <w:pPr>
        <w:numPr>
          <w:ilvl w:val="0"/>
          <w:numId w:val="1"/>
        </w:numPr>
        <w:spacing w:before="120" w:line="264" w:lineRule="auto"/>
        <w:ind w:left="1627" w:hanging="360"/>
        <w:rPr>
          <w:rFonts w:ascii="Arial" w:eastAsia="Arial" w:hAnsi="Arial" w:cs="Arial"/>
        </w:rPr>
      </w:pPr>
      <w:r>
        <w:rPr>
          <w:rFonts w:ascii="Arial" w:eastAsia="Arial" w:hAnsi="Arial" w:cs="Arial"/>
        </w:rPr>
        <w:t>Nature of Liabilities</w:t>
      </w:r>
    </w:p>
    <w:p w14:paraId="3E015D72" w14:textId="7C12CE32" w:rsidR="00817ACA" w:rsidRDefault="001466D1" w:rsidP="00487763">
      <w:pPr>
        <w:spacing w:before="60" w:line="264" w:lineRule="auto"/>
        <w:ind w:left="1627"/>
        <w:rPr>
          <w:rFonts w:ascii="Arial" w:eastAsia="Arial" w:hAnsi="Arial" w:cs="Arial"/>
        </w:rPr>
      </w:pPr>
      <w:r>
        <w:rPr>
          <w:rFonts w:ascii="Arial" w:eastAsia="Arial" w:hAnsi="Arial" w:cs="Arial"/>
        </w:rPr>
        <w:t xml:space="preserve">The benefits provided by the Trust are </w:t>
      </w:r>
      <w:r w:rsidR="00C062F4" w:rsidRPr="00A9092A">
        <w:rPr>
          <w:rFonts w:ascii="Arial" w:eastAsia="Arial" w:hAnsi="Arial" w:cs="Arial"/>
        </w:rPr>
        <w:t xml:space="preserve">subject </w:t>
      </w:r>
      <w:r>
        <w:rPr>
          <w:rFonts w:ascii="Arial" w:eastAsia="Arial" w:hAnsi="Arial" w:cs="Arial"/>
        </w:rPr>
        <w:t xml:space="preserve">to inflation </w:t>
      </w:r>
      <w:r w:rsidR="00C062F4" w:rsidRPr="00A9092A">
        <w:rPr>
          <w:rFonts w:ascii="Arial" w:eastAsia="Arial" w:hAnsi="Arial" w:cs="Arial"/>
        </w:rPr>
        <w:t>as a result of</w:t>
      </w:r>
      <w:r>
        <w:rPr>
          <w:rFonts w:ascii="Arial" w:eastAsia="Arial" w:hAnsi="Arial" w:cs="Arial"/>
        </w:rPr>
        <w:t xml:space="preserve"> expected increases in the costs of the benefits provided.</w:t>
      </w:r>
      <w:r w:rsidR="001709CA">
        <w:rPr>
          <w:rFonts w:ascii="Arial" w:eastAsia="Arial" w:hAnsi="Arial" w:cs="Arial"/>
        </w:rPr>
        <w:t xml:space="preserve"> </w:t>
      </w:r>
      <w:r>
        <w:rPr>
          <w:rFonts w:ascii="Arial" w:eastAsia="Arial" w:hAnsi="Arial" w:cs="Arial"/>
        </w:rPr>
        <w:t xml:space="preserve">Some types </w:t>
      </w:r>
      <w:r w:rsidR="007C3493">
        <w:rPr>
          <w:rFonts w:ascii="Arial" w:eastAsia="Arial" w:hAnsi="Arial" w:cs="Arial"/>
        </w:rPr>
        <w:t xml:space="preserve">of </w:t>
      </w:r>
      <w:r>
        <w:rPr>
          <w:rFonts w:ascii="Arial" w:eastAsia="Arial" w:hAnsi="Arial" w:cs="Arial"/>
        </w:rPr>
        <w:t xml:space="preserve">benefits may experience significant cost increases (e.g., new biologic drugs) and/or volatility in claiming patterns (e.g., life insurance). </w:t>
      </w:r>
      <w:r w:rsidR="00E8737A">
        <w:rPr>
          <w:rFonts w:ascii="Arial" w:eastAsia="Arial" w:hAnsi="Arial" w:cs="Arial"/>
        </w:rPr>
        <w:t>Other benefits may decline in price (e.g. if a drug patent expires</w:t>
      </w:r>
      <w:r w:rsidR="00817ACA">
        <w:rPr>
          <w:rFonts w:ascii="Arial" w:eastAsia="Arial" w:hAnsi="Arial" w:cs="Arial"/>
        </w:rPr>
        <w:t>, or its regulated price decreases</w:t>
      </w:r>
      <w:r w:rsidR="00E8737A">
        <w:rPr>
          <w:rFonts w:ascii="Arial" w:eastAsia="Arial" w:hAnsi="Arial" w:cs="Arial"/>
        </w:rPr>
        <w:t xml:space="preserve">). </w:t>
      </w:r>
    </w:p>
    <w:p w14:paraId="473EE840" w14:textId="77777777" w:rsidR="00F60402" w:rsidRDefault="00F60402" w:rsidP="00C062F4">
      <w:pPr>
        <w:spacing w:before="60" w:line="264" w:lineRule="auto"/>
        <w:ind w:left="1627" w:hanging="351"/>
        <w:rPr>
          <w:rFonts w:ascii="Arial" w:eastAsia="Arial" w:hAnsi="Arial" w:cs="Arial"/>
        </w:rPr>
      </w:pPr>
    </w:p>
    <w:p w14:paraId="783CFD87" w14:textId="53784013" w:rsidR="00817ACA" w:rsidRDefault="00817ACA" w:rsidP="00C062F4">
      <w:pPr>
        <w:spacing w:before="60" w:line="264" w:lineRule="auto"/>
        <w:ind w:left="1627" w:hanging="351"/>
        <w:rPr>
          <w:rFonts w:ascii="Arial" w:eastAsia="Arial" w:hAnsi="Arial" w:cs="Arial"/>
        </w:rPr>
      </w:pPr>
      <w:r>
        <w:rPr>
          <w:rFonts w:ascii="Arial" w:eastAsia="Arial" w:hAnsi="Arial" w:cs="Arial"/>
        </w:rPr>
        <w:t xml:space="preserve">d) </w:t>
      </w:r>
      <w:r w:rsidR="00C062F4">
        <w:rPr>
          <w:rFonts w:ascii="Arial" w:eastAsia="Arial" w:hAnsi="Arial" w:cs="Arial"/>
        </w:rPr>
        <w:tab/>
      </w:r>
      <w:r>
        <w:rPr>
          <w:rFonts w:ascii="Arial" w:eastAsia="Arial" w:hAnsi="Arial" w:cs="Arial"/>
        </w:rPr>
        <w:t>Income Taxation of OSSTF Benefits</w:t>
      </w:r>
    </w:p>
    <w:p w14:paraId="56D70FB7" w14:textId="77777777" w:rsidR="002771A9" w:rsidRDefault="001509F3" w:rsidP="00487763">
      <w:pPr>
        <w:spacing w:before="60" w:line="264" w:lineRule="auto"/>
        <w:ind w:left="1627"/>
        <w:rPr>
          <w:rFonts w:ascii="Arial" w:eastAsia="Arial" w:hAnsi="Arial" w:cs="Arial"/>
        </w:rPr>
      </w:pPr>
      <w:r>
        <w:rPr>
          <w:rFonts w:ascii="Arial" w:eastAsia="Arial" w:hAnsi="Arial" w:cs="Arial"/>
        </w:rPr>
        <w:t>OSSTF Benefits</w:t>
      </w:r>
      <w:r w:rsidR="001466D1">
        <w:rPr>
          <w:rFonts w:ascii="Arial" w:eastAsia="Arial" w:hAnsi="Arial" w:cs="Arial"/>
        </w:rPr>
        <w:t xml:space="preserve"> is a taxable </w:t>
      </w:r>
      <w:r w:rsidR="00817ACA">
        <w:rPr>
          <w:rFonts w:ascii="Arial" w:eastAsia="Arial" w:hAnsi="Arial" w:cs="Arial"/>
        </w:rPr>
        <w:t xml:space="preserve">"employee life and health </w:t>
      </w:r>
      <w:r w:rsidR="001466D1">
        <w:rPr>
          <w:rFonts w:ascii="Arial" w:eastAsia="Arial" w:hAnsi="Arial" w:cs="Arial"/>
        </w:rPr>
        <w:t>trust</w:t>
      </w:r>
      <w:r w:rsidR="00817ACA">
        <w:rPr>
          <w:rFonts w:ascii="Arial" w:eastAsia="Arial" w:hAnsi="Arial" w:cs="Arial"/>
        </w:rPr>
        <w:t>"</w:t>
      </w:r>
      <w:r w:rsidR="001466D1">
        <w:rPr>
          <w:rFonts w:ascii="Arial" w:eastAsia="Arial" w:hAnsi="Arial" w:cs="Arial"/>
        </w:rPr>
        <w:t xml:space="preserve"> and is liable for the payment of income taxes as applicable.</w:t>
      </w:r>
    </w:p>
    <w:p w14:paraId="1382BA12" w14:textId="4F95D67C" w:rsidR="002771A9" w:rsidRPr="00C062F4" w:rsidRDefault="00D141B4" w:rsidP="00C062F4">
      <w:pPr>
        <w:pStyle w:val="ListParagraph"/>
        <w:numPr>
          <w:ilvl w:val="0"/>
          <w:numId w:val="8"/>
        </w:numPr>
        <w:tabs>
          <w:tab w:val="left" w:pos="1701"/>
        </w:tabs>
        <w:spacing w:before="120" w:line="264" w:lineRule="auto"/>
        <w:ind w:left="1276" w:firstLine="0"/>
        <w:rPr>
          <w:rFonts w:ascii="Arial" w:eastAsia="Arial" w:hAnsi="Arial" w:cs="Arial"/>
        </w:rPr>
      </w:pPr>
      <w:r w:rsidRPr="00C062F4">
        <w:rPr>
          <w:rFonts w:ascii="Arial" w:eastAsia="Arial" w:hAnsi="Arial" w:cs="Arial"/>
        </w:rPr>
        <w:t>Separate Accounts</w:t>
      </w:r>
    </w:p>
    <w:p w14:paraId="19290F2C" w14:textId="23EEB1E6" w:rsidR="002771A9" w:rsidRDefault="00C062F4" w:rsidP="00487763">
      <w:pPr>
        <w:spacing w:before="60" w:line="264" w:lineRule="auto"/>
        <w:ind w:left="1627"/>
        <w:rPr>
          <w:rFonts w:ascii="Arial" w:eastAsia="Arial" w:hAnsi="Arial" w:cs="Arial"/>
        </w:rPr>
      </w:pPr>
      <w:r w:rsidRPr="00A9092A">
        <w:rPr>
          <w:rFonts w:ascii="Arial" w:hAnsi="Arial" w:cs="Arial"/>
        </w:rPr>
        <w:t>All income received, and</w:t>
      </w:r>
      <w:r>
        <w:rPr>
          <w:rFonts w:ascii="Arial" w:hAnsi="Arial" w:cs="Arial"/>
        </w:rPr>
        <w:t xml:space="preserve"> </w:t>
      </w:r>
      <w:r w:rsidR="00D141B4" w:rsidRPr="002771A9">
        <w:rPr>
          <w:rFonts w:ascii="Arial" w:eastAsia="Arial" w:hAnsi="Arial" w:cs="Arial"/>
        </w:rPr>
        <w:t>benefits provided by the Trust</w:t>
      </w:r>
      <w:r>
        <w:rPr>
          <w:rFonts w:ascii="Arial" w:eastAsia="Arial" w:hAnsi="Arial" w:cs="Arial"/>
        </w:rPr>
        <w:t xml:space="preserve"> must be accounted for separately</w:t>
      </w:r>
      <w:r w:rsidR="00D141B4" w:rsidRPr="002771A9">
        <w:rPr>
          <w:rFonts w:ascii="Arial" w:eastAsia="Arial" w:hAnsi="Arial" w:cs="Arial"/>
        </w:rPr>
        <w:t xml:space="preserve"> for each distinct group (e.g. </w:t>
      </w:r>
      <w:r w:rsidR="001509F3" w:rsidRPr="002771A9">
        <w:rPr>
          <w:rFonts w:ascii="Arial" w:eastAsia="Arial" w:hAnsi="Arial" w:cs="Arial"/>
        </w:rPr>
        <w:t>OSSTF</w:t>
      </w:r>
      <w:r w:rsidR="00D141B4" w:rsidRPr="002771A9">
        <w:rPr>
          <w:rFonts w:ascii="Arial" w:eastAsia="Arial" w:hAnsi="Arial" w:cs="Arial"/>
        </w:rPr>
        <w:t xml:space="preserve"> teachers and </w:t>
      </w:r>
      <w:r w:rsidR="001509F3" w:rsidRPr="002771A9">
        <w:rPr>
          <w:rFonts w:ascii="Arial" w:eastAsia="Arial" w:hAnsi="Arial" w:cs="Arial"/>
        </w:rPr>
        <w:t>OSSTF</w:t>
      </w:r>
      <w:r w:rsidR="00D141B4" w:rsidRPr="002771A9">
        <w:rPr>
          <w:rFonts w:ascii="Arial" w:eastAsia="Arial" w:hAnsi="Arial" w:cs="Arial"/>
        </w:rPr>
        <w:t xml:space="preserve"> education workers).</w:t>
      </w:r>
      <w:r w:rsidR="001709CA">
        <w:rPr>
          <w:rFonts w:ascii="Arial" w:eastAsia="Arial" w:hAnsi="Arial" w:cs="Arial"/>
        </w:rPr>
        <w:t xml:space="preserve"> </w:t>
      </w:r>
      <w:r w:rsidR="004E655C" w:rsidRPr="002771A9">
        <w:rPr>
          <w:rFonts w:ascii="Arial" w:eastAsia="Arial" w:hAnsi="Arial" w:cs="Arial"/>
        </w:rPr>
        <w:t>Funds may be pooled for purposes of investments</w:t>
      </w:r>
      <w:r w:rsidR="00817ACA">
        <w:rPr>
          <w:rFonts w:ascii="Arial" w:eastAsia="Arial" w:hAnsi="Arial" w:cs="Arial"/>
        </w:rPr>
        <w:t xml:space="preserve"> and common expenses</w:t>
      </w:r>
      <w:r w:rsidR="007C3493" w:rsidRPr="002771A9">
        <w:rPr>
          <w:rFonts w:ascii="Arial" w:eastAsia="Arial" w:hAnsi="Arial" w:cs="Arial"/>
        </w:rPr>
        <w:t>.</w:t>
      </w:r>
      <w:r w:rsidR="004E655C" w:rsidRPr="002771A9">
        <w:rPr>
          <w:rFonts w:ascii="Arial" w:eastAsia="Arial" w:hAnsi="Arial" w:cs="Arial"/>
        </w:rPr>
        <w:t xml:space="preserve"> </w:t>
      </w:r>
      <w:r w:rsidR="007C3493" w:rsidRPr="002771A9">
        <w:rPr>
          <w:rFonts w:ascii="Arial" w:eastAsia="Arial" w:hAnsi="Arial" w:cs="Arial"/>
        </w:rPr>
        <w:t xml:space="preserve">All </w:t>
      </w:r>
      <w:r w:rsidR="004E655C" w:rsidRPr="002771A9">
        <w:rPr>
          <w:rFonts w:ascii="Arial" w:eastAsia="Arial" w:hAnsi="Arial" w:cs="Arial"/>
        </w:rPr>
        <w:t xml:space="preserve">administrative expenses </w:t>
      </w:r>
      <w:r w:rsidR="007C3493" w:rsidRPr="002771A9">
        <w:rPr>
          <w:rFonts w:ascii="Arial" w:eastAsia="Arial" w:hAnsi="Arial" w:cs="Arial"/>
        </w:rPr>
        <w:t xml:space="preserve">incurred </w:t>
      </w:r>
      <w:r w:rsidR="00817ACA">
        <w:rPr>
          <w:rFonts w:ascii="Arial" w:eastAsia="Arial" w:hAnsi="Arial" w:cs="Arial"/>
        </w:rPr>
        <w:t xml:space="preserve">with respect to a specific account </w:t>
      </w:r>
      <w:r w:rsidR="007C3493" w:rsidRPr="002771A9">
        <w:rPr>
          <w:rFonts w:ascii="Arial" w:eastAsia="Arial" w:hAnsi="Arial" w:cs="Arial"/>
        </w:rPr>
        <w:t xml:space="preserve">will </w:t>
      </w:r>
      <w:r w:rsidR="004E655C" w:rsidRPr="002771A9">
        <w:rPr>
          <w:rFonts w:ascii="Arial" w:eastAsia="Arial" w:hAnsi="Arial" w:cs="Arial"/>
        </w:rPr>
        <w:t xml:space="preserve">be allocated appropriately to </w:t>
      </w:r>
      <w:r w:rsidR="00817ACA">
        <w:rPr>
          <w:rFonts w:ascii="Arial" w:eastAsia="Arial" w:hAnsi="Arial" w:cs="Arial"/>
        </w:rPr>
        <w:t>that</w:t>
      </w:r>
      <w:r w:rsidR="00817ACA" w:rsidRPr="002771A9">
        <w:rPr>
          <w:rFonts w:ascii="Arial" w:eastAsia="Arial" w:hAnsi="Arial" w:cs="Arial"/>
        </w:rPr>
        <w:t xml:space="preserve"> </w:t>
      </w:r>
      <w:r w:rsidR="004E655C" w:rsidRPr="002771A9">
        <w:rPr>
          <w:rFonts w:ascii="Arial" w:eastAsia="Arial" w:hAnsi="Arial" w:cs="Arial"/>
        </w:rPr>
        <w:t>account.</w:t>
      </w:r>
    </w:p>
    <w:p w14:paraId="00FCC365" w14:textId="7BE0AD2A" w:rsidR="00F60402" w:rsidRDefault="00F60402" w:rsidP="00487763">
      <w:pPr>
        <w:spacing w:before="60" w:line="264" w:lineRule="auto"/>
        <w:ind w:left="1627"/>
        <w:rPr>
          <w:rFonts w:ascii="Arial" w:eastAsia="Arial" w:hAnsi="Arial" w:cs="Arial"/>
        </w:rPr>
      </w:pPr>
    </w:p>
    <w:p w14:paraId="75601C4B" w14:textId="032A4E2E" w:rsidR="00F60402" w:rsidRDefault="00F60402" w:rsidP="00487763">
      <w:pPr>
        <w:spacing w:before="60" w:line="264" w:lineRule="auto"/>
        <w:ind w:left="1627"/>
        <w:rPr>
          <w:rFonts w:ascii="Arial" w:eastAsia="Arial" w:hAnsi="Arial" w:cs="Arial"/>
        </w:rPr>
      </w:pPr>
    </w:p>
    <w:p w14:paraId="0905E19A" w14:textId="172B91CF" w:rsidR="00F60402" w:rsidRDefault="00F60402" w:rsidP="00487763">
      <w:pPr>
        <w:spacing w:before="60" w:line="264" w:lineRule="auto"/>
        <w:ind w:left="1627"/>
        <w:rPr>
          <w:rFonts w:ascii="Arial" w:eastAsia="Arial" w:hAnsi="Arial" w:cs="Arial"/>
        </w:rPr>
      </w:pPr>
    </w:p>
    <w:p w14:paraId="7D857016" w14:textId="77777777" w:rsidR="00A9092A" w:rsidRDefault="00A9092A" w:rsidP="00487763">
      <w:pPr>
        <w:spacing w:before="60" w:line="264" w:lineRule="auto"/>
        <w:ind w:left="1627"/>
        <w:rPr>
          <w:rFonts w:ascii="Arial" w:eastAsia="Arial" w:hAnsi="Arial" w:cs="Arial"/>
        </w:rPr>
      </w:pPr>
    </w:p>
    <w:p w14:paraId="4DF4DFF3" w14:textId="77777777" w:rsidR="00F16FA6" w:rsidRDefault="007834F0" w:rsidP="00F16FA6">
      <w:pPr>
        <w:numPr>
          <w:ilvl w:val="0"/>
          <w:numId w:val="8"/>
        </w:numPr>
        <w:spacing w:before="120" w:line="264" w:lineRule="auto"/>
        <w:ind w:left="1620" w:hanging="360"/>
        <w:rPr>
          <w:rFonts w:ascii="Arial" w:eastAsia="Arial" w:hAnsi="Arial" w:cs="Arial"/>
        </w:rPr>
      </w:pPr>
      <w:r w:rsidRPr="002771A9">
        <w:rPr>
          <w:rFonts w:ascii="Arial" w:eastAsia="Arial" w:hAnsi="Arial" w:cs="Arial"/>
        </w:rPr>
        <w:lastRenderedPageBreak/>
        <w:t>Retirees</w:t>
      </w:r>
    </w:p>
    <w:p w14:paraId="551E5053" w14:textId="4ECDF320" w:rsidR="00F16FA6" w:rsidRPr="00F16FA6" w:rsidRDefault="00F16FA6" w:rsidP="00F16FA6">
      <w:pPr>
        <w:spacing w:before="120" w:line="264" w:lineRule="auto"/>
        <w:ind w:left="1620"/>
        <w:rPr>
          <w:rFonts w:ascii="Arial" w:eastAsia="Arial" w:hAnsi="Arial" w:cs="Arial"/>
        </w:rPr>
      </w:pPr>
      <w:r w:rsidRPr="00F16FA6">
        <w:rPr>
          <w:rFonts w:ascii="Arial" w:eastAsia="Times New Roman" w:hAnsi="Arial" w:cs="Arial"/>
          <w:iCs/>
          <w:color w:val="222222"/>
          <w:lang w:val="en-CA" w:eastAsia="en-CA"/>
        </w:rPr>
        <w:t>Eligible retired OSSTF employees who commenced participation in a predecessor benefit plan on a subsidized </w:t>
      </w:r>
      <w:r w:rsidRPr="00F16FA6">
        <w:rPr>
          <w:rFonts w:ascii="Arial" w:eastAsia="Times New Roman" w:hAnsi="Arial" w:cs="Arial"/>
          <w:iCs/>
          <w:color w:val="auto"/>
          <w:lang w:val="en-CA" w:eastAsia="en-CA"/>
        </w:rPr>
        <w:t>or</w:t>
      </w:r>
      <w:r w:rsidRPr="00F16FA6">
        <w:rPr>
          <w:rFonts w:ascii="Arial" w:eastAsia="Times New Roman" w:hAnsi="Arial" w:cs="Arial"/>
          <w:iCs/>
          <w:color w:val="222222"/>
          <w:lang w:val="en-CA" w:eastAsia="en-CA"/>
        </w:rPr>
        <w:t> non-subsidized rating basis on or before October 6, 2016 and are still participating when eligible retirees are transitioned into the OSSTF ELHT will be eligible to receive designated benefits from OSSTF Benefits. The funding of retiree benefits is not addressed in this document.</w:t>
      </w:r>
    </w:p>
    <w:p w14:paraId="48448A72" w14:textId="77777777" w:rsidR="00F16FA6" w:rsidRDefault="00F16FA6" w:rsidP="00487763">
      <w:pPr>
        <w:spacing w:before="60" w:line="264" w:lineRule="auto"/>
        <w:ind w:left="1627"/>
        <w:rPr>
          <w:rFonts w:ascii="Arial" w:eastAsia="Arial" w:hAnsi="Arial" w:cs="Arial"/>
        </w:rPr>
      </w:pPr>
    </w:p>
    <w:p w14:paraId="389342CC" w14:textId="77777777" w:rsidR="002771A9" w:rsidRPr="002771A9" w:rsidRDefault="00AA7E45" w:rsidP="00487763">
      <w:pPr>
        <w:numPr>
          <w:ilvl w:val="1"/>
          <w:numId w:val="7"/>
        </w:numPr>
        <w:spacing w:line="264" w:lineRule="auto"/>
        <w:ind w:left="1260" w:hanging="684"/>
        <w:rPr>
          <w:rFonts w:ascii="Arial" w:eastAsia="Arial" w:hAnsi="Arial" w:cs="Arial"/>
          <w:b/>
        </w:rPr>
      </w:pPr>
      <w:r w:rsidRPr="002771A9">
        <w:rPr>
          <w:rFonts w:ascii="Arial" w:eastAsia="Arial" w:hAnsi="Arial" w:cs="Arial"/>
          <w:b/>
        </w:rPr>
        <w:t>Definition</w:t>
      </w:r>
      <w:r w:rsidR="004E655C" w:rsidRPr="002771A9">
        <w:rPr>
          <w:rFonts w:ascii="Arial" w:eastAsia="Arial" w:hAnsi="Arial" w:cs="Arial"/>
          <w:b/>
        </w:rPr>
        <w:t>s</w:t>
      </w:r>
      <w:r w:rsidRPr="002771A9">
        <w:rPr>
          <w:rFonts w:ascii="Arial" w:eastAsia="Arial" w:hAnsi="Arial" w:cs="Arial"/>
          <w:b/>
        </w:rPr>
        <w:t xml:space="preserve"> of </w:t>
      </w:r>
      <w:r w:rsidR="004E655C" w:rsidRPr="002771A9">
        <w:rPr>
          <w:rFonts w:ascii="Arial" w:eastAsia="Arial" w:hAnsi="Arial" w:cs="Arial"/>
          <w:b/>
        </w:rPr>
        <w:t>“</w:t>
      </w:r>
      <w:r w:rsidRPr="002771A9">
        <w:rPr>
          <w:rFonts w:ascii="Arial" w:eastAsia="Arial" w:hAnsi="Arial" w:cs="Arial"/>
          <w:b/>
        </w:rPr>
        <w:t>Year</w:t>
      </w:r>
      <w:r w:rsidR="004E655C" w:rsidRPr="002771A9">
        <w:rPr>
          <w:rFonts w:ascii="Arial" w:eastAsia="Arial" w:hAnsi="Arial" w:cs="Arial"/>
          <w:b/>
        </w:rPr>
        <w:t>”</w:t>
      </w:r>
      <w:r w:rsidRPr="002771A9">
        <w:rPr>
          <w:rFonts w:ascii="Arial" w:eastAsia="Arial" w:hAnsi="Arial" w:cs="Arial"/>
          <w:b/>
        </w:rPr>
        <w:t xml:space="preserve"> for Trust</w:t>
      </w:r>
    </w:p>
    <w:p w14:paraId="0476705E" w14:textId="4CE9F9C8" w:rsidR="007F64F4" w:rsidRDefault="00E57A5F" w:rsidP="00487763">
      <w:pPr>
        <w:spacing w:before="120" w:line="264" w:lineRule="auto"/>
        <w:ind w:left="1267"/>
        <w:rPr>
          <w:rFonts w:ascii="Arial" w:eastAsia="Arial" w:hAnsi="Arial" w:cs="Arial"/>
        </w:rPr>
      </w:pPr>
      <w:r>
        <w:rPr>
          <w:rFonts w:ascii="Arial" w:eastAsia="Arial" w:hAnsi="Arial" w:cs="Arial"/>
        </w:rPr>
        <w:t xml:space="preserve">OSSTF Benefits files tax returns on a </w:t>
      </w:r>
      <w:r w:rsidR="00AA7E45">
        <w:rPr>
          <w:rFonts w:ascii="Arial" w:eastAsia="Arial" w:hAnsi="Arial" w:cs="Arial"/>
        </w:rPr>
        <w:t>Calendar Year (Jan</w:t>
      </w:r>
      <w:r w:rsidR="007F64F4">
        <w:rPr>
          <w:rFonts w:ascii="Arial" w:eastAsia="Arial" w:hAnsi="Arial" w:cs="Arial"/>
        </w:rPr>
        <w:t>uary</w:t>
      </w:r>
      <w:r w:rsidR="00AA7E45">
        <w:rPr>
          <w:rFonts w:ascii="Arial" w:eastAsia="Arial" w:hAnsi="Arial" w:cs="Arial"/>
        </w:rPr>
        <w:t xml:space="preserve"> 1 to Dec</w:t>
      </w:r>
      <w:r w:rsidR="007F64F4">
        <w:rPr>
          <w:rFonts w:ascii="Arial" w:eastAsia="Arial" w:hAnsi="Arial" w:cs="Arial"/>
        </w:rPr>
        <w:t>ember</w:t>
      </w:r>
      <w:r w:rsidR="00AA7E45">
        <w:rPr>
          <w:rFonts w:ascii="Arial" w:eastAsia="Arial" w:hAnsi="Arial" w:cs="Arial"/>
        </w:rPr>
        <w:t xml:space="preserve"> 31) </w:t>
      </w:r>
      <w:r>
        <w:rPr>
          <w:rFonts w:ascii="Arial" w:eastAsia="Arial" w:hAnsi="Arial" w:cs="Arial"/>
        </w:rPr>
        <w:t xml:space="preserve">basis, and </w:t>
      </w:r>
      <w:r w:rsidR="004E655C">
        <w:rPr>
          <w:rFonts w:ascii="Arial" w:eastAsia="Arial" w:hAnsi="Arial" w:cs="Arial"/>
        </w:rPr>
        <w:t xml:space="preserve">external </w:t>
      </w:r>
      <w:r w:rsidR="00AA7E45">
        <w:rPr>
          <w:rFonts w:ascii="Arial" w:eastAsia="Arial" w:hAnsi="Arial" w:cs="Arial"/>
        </w:rPr>
        <w:t xml:space="preserve">audits </w:t>
      </w:r>
      <w:r>
        <w:rPr>
          <w:rFonts w:ascii="Arial" w:eastAsia="Arial" w:hAnsi="Arial" w:cs="Arial"/>
        </w:rPr>
        <w:t>are also performed for Calendar Year periods.</w:t>
      </w:r>
      <w:r w:rsidR="00AA7E45">
        <w:rPr>
          <w:rFonts w:ascii="Arial" w:eastAsia="Arial" w:hAnsi="Arial" w:cs="Arial"/>
        </w:rPr>
        <w:t xml:space="preserve"> </w:t>
      </w:r>
    </w:p>
    <w:p w14:paraId="4EC17AF9" w14:textId="47204C11" w:rsidR="007F64F4" w:rsidRDefault="00E57A5F" w:rsidP="00487763">
      <w:pPr>
        <w:spacing w:before="120" w:line="264" w:lineRule="auto"/>
        <w:ind w:left="1267"/>
        <w:rPr>
          <w:rFonts w:ascii="Arial" w:eastAsia="Arial" w:hAnsi="Arial" w:cs="Arial"/>
        </w:rPr>
      </w:pPr>
      <w:r>
        <w:rPr>
          <w:rFonts w:ascii="Arial" w:eastAsia="Arial" w:hAnsi="Arial" w:cs="Arial"/>
        </w:rPr>
        <w:t xml:space="preserve">The Trust's </w:t>
      </w:r>
      <w:r w:rsidR="00AA7E45">
        <w:rPr>
          <w:rFonts w:ascii="Arial" w:eastAsia="Arial" w:hAnsi="Arial" w:cs="Arial"/>
        </w:rPr>
        <w:t xml:space="preserve">Benefit Plan Year is </w:t>
      </w:r>
      <w:r w:rsidR="004E655C">
        <w:rPr>
          <w:rFonts w:ascii="Arial" w:eastAsia="Arial" w:hAnsi="Arial" w:cs="Arial"/>
        </w:rPr>
        <w:t>the 12</w:t>
      </w:r>
      <w:r w:rsidR="007F64F4">
        <w:rPr>
          <w:rFonts w:ascii="Arial" w:eastAsia="Arial" w:hAnsi="Arial" w:cs="Arial"/>
        </w:rPr>
        <w:t>-</w:t>
      </w:r>
      <w:r w:rsidR="004E655C">
        <w:rPr>
          <w:rFonts w:ascii="Arial" w:eastAsia="Arial" w:hAnsi="Arial" w:cs="Arial"/>
        </w:rPr>
        <w:t xml:space="preserve">month period from </w:t>
      </w:r>
      <w:r w:rsidR="00AA7E45">
        <w:rPr>
          <w:rFonts w:ascii="Arial" w:eastAsia="Arial" w:hAnsi="Arial" w:cs="Arial"/>
        </w:rPr>
        <w:t>September 1 to August 31</w:t>
      </w:r>
      <w:r>
        <w:rPr>
          <w:rFonts w:ascii="Arial" w:eastAsia="Arial" w:hAnsi="Arial" w:cs="Arial"/>
        </w:rPr>
        <w:t>. The Benefit Plan Year is the period used</w:t>
      </w:r>
      <w:r w:rsidR="00AA7E45">
        <w:rPr>
          <w:rFonts w:ascii="Arial" w:eastAsia="Arial" w:hAnsi="Arial" w:cs="Arial"/>
        </w:rPr>
        <w:t xml:space="preserve"> </w:t>
      </w:r>
      <w:r>
        <w:rPr>
          <w:rFonts w:ascii="Arial" w:eastAsia="Arial" w:hAnsi="Arial" w:cs="Arial"/>
        </w:rPr>
        <w:t xml:space="preserve">for the </w:t>
      </w:r>
      <w:r w:rsidR="00AA7E45">
        <w:rPr>
          <w:rFonts w:ascii="Arial" w:eastAsia="Arial" w:hAnsi="Arial" w:cs="Arial"/>
        </w:rPr>
        <w:t xml:space="preserve">measurement of the insurer renewal, </w:t>
      </w:r>
      <w:r>
        <w:rPr>
          <w:rFonts w:ascii="Arial" w:eastAsia="Arial" w:hAnsi="Arial" w:cs="Arial"/>
        </w:rPr>
        <w:t xml:space="preserve">the </w:t>
      </w:r>
      <w:r w:rsidR="00AA7E45">
        <w:rPr>
          <w:rFonts w:ascii="Arial" w:eastAsia="Arial" w:hAnsi="Arial" w:cs="Arial"/>
        </w:rPr>
        <w:t xml:space="preserve">development of the </w:t>
      </w:r>
      <w:r w:rsidR="007F64F4">
        <w:rPr>
          <w:rFonts w:ascii="Arial" w:eastAsia="Arial" w:hAnsi="Arial" w:cs="Arial"/>
        </w:rPr>
        <w:t>C</w:t>
      </w:r>
      <w:r w:rsidR="00AA7E45">
        <w:rPr>
          <w:rFonts w:ascii="Arial" w:eastAsia="Arial" w:hAnsi="Arial" w:cs="Arial"/>
        </w:rPr>
        <w:t xml:space="preserve">laims </w:t>
      </w:r>
      <w:r w:rsidR="007F64F4">
        <w:rPr>
          <w:rFonts w:ascii="Arial" w:eastAsia="Arial" w:hAnsi="Arial" w:cs="Arial"/>
        </w:rPr>
        <w:t>F</w:t>
      </w:r>
      <w:r w:rsidR="00AA7E45">
        <w:rPr>
          <w:rFonts w:ascii="Arial" w:eastAsia="Arial" w:hAnsi="Arial" w:cs="Arial"/>
        </w:rPr>
        <w:t xml:space="preserve">luctuation </w:t>
      </w:r>
      <w:r w:rsidR="007F64F4">
        <w:rPr>
          <w:rFonts w:ascii="Arial" w:eastAsia="Arial" w:hAnsi="Arial" w:cs="Arial"/>
        </w:rPr>
        <w:t>R</w:t>
      </w:r>
      <w:r w:rsidR="00AA7E45">
        <w:rPr>
          <w:rFonts w:ascii="Arial" w:eastAsia="Arial" w:hAnsi="Arial" w:cs="Arial"/>
        </w:rPr>
        <w:t xml:space="preserve">eserve and other plan reserves as well as </w:t>
      </w:r>
      <w:r>
        <w:rPr>
          <w:rFonts w:ascii="Arial" w:eastAsia="Arial" w:hAnsi="Arial" w:cs="Arial"/>
        </w:rPr>
        <w:t xml:space="preserve">for the </w:t>
      </w:r>
      <w:r w:rsidR="00AA7E45">
        <w:rPr>
          <w:rFonts w:ascii="Arial" w:eastAsia="Arial" w:hAnsi="Arial" w:cs="Arial"/>
        </w:rPr>
        <w:t>preparation of the actuarial valuation of the plan</w:t>
      </w:r>
      <w:r w:rsidR="004E655C">
        <w:rPr>
          <w:rFonts w:ascii="Arial" w:eastAsia="Arial" w:hAnsi="Arial" w:cs="Arial"/>
        </w:rPr>
        <w:t>s and the assessment of the financial position of the plans</w:t>
      </w:r>
      <w:r w:rsidR="00AA7E45">
        <w:rPr>
          <w:rFonts w:ascii="Arial" w:eastAsia="Arial" w:hAnsi="Arial" w:cs="Arial"/>
        </w:rPr>
        <w:t>.</w:t>
      </w:r>
      <w:r w:rsidR="008C631B">
        <w:rPr>
          <w:rFonts w:ascii="Arial" w:eastAsia="Arial" w:hAnsi="Arial" w:cs="Arial"/>
        </w:rPr>
        <w:t xml:space="preserve"> Benefit Year results may be extrapolated to the Calendar Year for purposes of reporting to the OSSTF, OPSBA and the Crown.</w:t>
      </w:r>
    </w:p>
    <w:p w14:paraId="6F977E77" w14:textId="77777777" w:rsidR="002771A9" w:rsidRPr="007F64F4" w:rsidRDefault="002771A9" w:rsidP="00487763">
      <w:pPr>
        <w:spacing w:line="264" w:lineRule="auto"/>
        <w:ind w:left="1267"/>
        <w:rPr>
          <w:rFonts w:ascii="Arial" w:eastAsia="Arial" w:hAnsi="Arial" w:cs="Arial"/>
        </w:rPr>
      </w:pPr>
    </w:p>
    <w:p w14:paraId="21DB9D88" w14:textId="77777777" w:rsidR="00CC4BA6" w:rsidRDefault="001466D1" w:rsidP="00487763">
      <w:pPr>
        <w:numPr>
          <w:ilvl w:val="1"/>
          <w:numId w:val="7"/>
        </w:numPr>
        <w:spacing w:line="264" w:lineRule="auto"/>
        <w:ind w:left="1260" w:hanging="684"/>
        <w:rPr>
          <w:rFonts w:ascii="Arial" w:eastAsia="Arial" w:hAnsi="Arial" w:cs="Arial"/>
        </w:rPr>
      </w:pPr>
      <w:r>
        <w:rPr>
          <w:rFonts w:ascii="Arial" w:eastAsia="Arial" w:hAnsi="Arial" w:cs="Arial"/>
          <w:b/>
        </w:rPr>
        <w:t>Funded Status</w:t>
      </w:r>
    </w:p>
    <w:p w14:paraId="01373F74" w14:textId="2B3E16BB" w:rsidR="00CC4BA6" w:rsidRDefault="001466D1" w:rsidP="00487763">
      <w:pPr>
        <w:spacing w:before="120" w:line="264" w:lineRule="auto"/>
        <w:ind w:left="1267"/>
        <w:rPr>
          <w:rFonts w:ascii="Arial" w:eastAsia="Arial" w:hAnsi="Arial" w:cs="Arial"/>
        </w:rPr>
      </w:pPr>
      <w:r>
        <w:rPr>
          <w:rFonts w:ascii="Arial" w:eastAsia="Arial" w:hAnsi="Arial" w:cs="Arial"/>
        </w:rPr>
        <w:t xml:space="preserve">At </w:t>
      </w:r>
      <w:r w:rsidR="0091439C">
        <w:rPr>
          <w:rFonts w:ascii="Arial" w:eastAsia="Arial" w:hAnsi="Arial" w:cs="Arial"/>
        </w:rPr>
        <w:t>October 6</w:t>
      </w:r>
      <w:r>
        <w:rPr>
          <w:rFonts w:ascii="Arial" w:eastAsia="Arial" w:hAnsi="Arial" w:cs="Arial"/>
        </w:rPr>
        <w:t xml:space="preserve">, 2016, the Government provided funding for the establishment of a Claims Fluctuation Reserve equal to </w:t>
      </w:r>
      <w:r w:rsidR="009A23E1">
        <w:rPr>
          <w:rFonts w:ascii="Arial" w:eastAsia="Arial" w:hAnsi="Arial" w:cs="Arial"/>
        </w:rPr>
        <w:t>$</w:t>
      </w:r>
      <w:r w:rsidR="0091439C">
        <w:rPr>
          <w:rFonts w:ascii="Arial" w:eastAsia="Arial" w:hAnsi="Arial" w:cs="Arial"/>
        </w:rPr>
        <w:t>19.4</w:t>
      </w:r>
      <w:r w:rsidR="009A23E1">
        <w:rPr>
          <w:rFonts w:ascii="Arial" w:eastAsia="Arial" w:hAnsi="Arial" w:cs="Arial"/>
        </w:rPr>
        <w:t xml:space="preserve">M in respect of </w:t>
      </w:r>
      <w:r w:rsidR="0091439C">
        <w:rPr>
          <w:rFonts w:ascii="Arial" w:eastAsia="Arial" w:hAnsi="Arial" w:cs="Arial"/>
        </w:rPr>
        <w:t xml:space="preserve">OSSTF </w:t>
      </w:r>
      <w:r w:rsidR="009A23E1">
        <w:rPr>
          <w:rFonts w:ascii="Arial" w:eastAsia="Arial" w:hAnsi="Arial" w:cs="Arial"/>
        </w:rPr>
        <w:t>teachers and $</w:t>
      </w:r>
      <w:r w:rsidR="0091439C">
        <w:rPr>
          <w:rFonts w:ascii="Arial" w:eastAsia="Arial" w:hAnsi="Arial" w:cs="Arial"/>
        </w:rPr>
        <w:t>7.8</w:t>
      </w:r>
      <w:r w:rsidR="009A23E1">
        <w:rPr>
          <w:rFonts w:ascii="Arial" w:eastAsia="Arial" w:hAnsi="Arial" w:cs="Arial"/>
        </w:rPr>
        <w:t xml:space="preserve">M in respect of </w:t>
      </w:r>
      <w:r w:rsidR="0091439C">
        <w:rPr>
          <w:rFonts w:ascii="Arial" w:eastAsia="Arial" w:hAnsi="Arial" w:cs="Arial"/>
        </w:rPr>
        <w:t>OSSTF</w:t>
      </w:r>
      <w:r w:rsidR="009A23E1">
        <w:rPr>
          <w:rFonts w:ascii="Arial" w:eastAsia="Arial" w:hAnsi="Arial" w:cs="Arial"/>
        </w:rPr>
        <w:t xml:space="preserve"> education workers.</w:t>
      </w:r>
      <w:r w:rsidR="001709CA">
        <w:rPr>
          <w:rFonts w:ascii="Arial" w:eastAsia="Arial" w:hAnsi="Arial" w:cs="Arial"/>
        </w:rPr>
        <w:t xml:space="preserve"> </w:t>
      </w:r>
      <w:r>
        <w:rPr>
          <w:rFonts w:ascii="Arial" w:eastAsia="Arial" w:hAnsi="Arial" w:cs="Arial"/>
        </w:rPr>
        <w:t xml:space="preserve">Any </w:t>
      </w:r>
      <w:r w:rsidR="004E655C">
        <w:rPr>
          <w:rFonts w:ascii="Arial" w:eastAsia="Arial" w:hAnsi="Arial" w:cs="Arial"/>
        </w:rPr>
        <w:t xml:space="preserve">remaining </w:t>
      </w:r>
      <w:r>
        <w:rPr>
          <w:rFonts w:ascii="Arial" w:eastAsia="Arial" w:hAnsi="Arial" w:cs="Arial"/>
        </w:rPr>
        <w:t xml:space="preserve">funds </w:t>
      </w:r>
      <w:r w:rsidR="004E655C">
        <w:rPr>
          <w:rFonts w:ascii="Arial" w:eastAsia="Arial" w:hAnsi="Arial" w:cs="Arial"/>
        </w:rPr>
        <w:t>from the start</w:t>
      </w:r>
      <w:r w:rsidR="0091439C">
        <w:rPr>
          <w:rFonts w:ascii="Arial" w:eastAsia="Arial" w:hAnsi="Arial" w:cs="Arial"/>
        </w:rPr>
        <w:t>-</w:t>
      </w:r>
      <w:r w:rsidR="004E655C">
        <w:rPr>
          <w:rFonts w:ascii="Arial" w:eastAsia="Arial" w:hAnsi="Arial" w:cs="Arial"/>
        </w:rPr>
        <w:t xml:space="preserve">up funds, </w:t>
      </w:r>
      <w:r>
        <w:rPr>
          <w:rFonts w:ascii="Arial" w:eastAsia="Arial" w:hAnsi="Arial" w:cs="Arial"/>
        </w:rPr>
        <w:t>not used to implement the Trust will</w:t>
      </w:r>
      <w:r w:rsidR="004E655C">
        <w:rPr>
          <w:rFonts w:ascii="Arial" w:eastAsia="Arial" w:hAnsi="Arial" w:cs="Arial"/>
        </w:rPr>
        <w:t xml:space="preserve"> be contributed to </w:t>
      </w:r>
      <w:r>
        <w:rPr>
          <w:rFonts w:ascii="Arial" w:eastAsia="Arial" w:hAnsi="Arial" w:cs="Arial"/>
        </w:rPr>
        <w:t>the Trust.</w:t>
      </w:r>
      <w:r w:rsidR="001709CA">
        <w:rPr>
          <w:rFonts w:ascii="Arial" w:eastAsia="Arial" w:hAnsi="Arial" w:cs="Arial"/>
        </w:rPr>
        <w:t xml:space="preserve"> </w:t>
      </w:r>
      <w:r w:rsidR="00F60402" w:rsidRPr="00A9092A">
        <w:rPr>
          <w:rFonts w:ascii="Arial" w:eastAsia="Arial" w:hAnsi="Arial" w:cs="Arial"/>
        </w:rPr>
        <w:t>Based on the level of employee contribution</w:t>
      </w:r>
      <w:r w:rsidR="00826C4E" w:rsidRPr="00A9092A">
        <w:rPr>
          <w:rFonts w:ascii="Arial" w:eastAsia="Arial" w:hAnsi="Arial" w:cs="Arial"/>
        </w:rPr>
        <w:t xml:space="preserve"> towards the rates,</w:t>
      </w:r>
      <w:r w:rsidR="00826C4E">
        <w:rPr>
          <w:rFonts w:ascii="Arial" w:eastAsia="Arial" w:hAnsi="Arial" w:cs="Arial"/>
          <w:b/>
          <w:i/>
        </w:rPr>
        <w:t xml:space="preserve"> </w:t>
      </w:r>
      <w:r w:rsidR="00826C4E">
        <w:rPr>
          <w:rFonts w:ascii="Arial" w:eastAsia="Arial" w:hAnsi="Arial" w:cs="Arial"/>
        </w:rPr>
        <w:t>a</w:t>
      </w:r>
      <w:r w:rsidR="00056116">
        <w:rPr>
          <w:rFonts w:ascii="Arial" w:eastAsia="Arial" w:hAnsi="Arial" w:cs="Arial"/>
        </w:rPr>
        <w:t xml:space="preserve"> portion of </w:t>
      </w:r>
      <w:r>
        <w:rPr>
          <w:rFonts w:ascii="Arial" w:eastAsia="Arial" w:hAnsi="Arial" w:cs="Arial"/>
        </w:rPr>
        <w:t xml:space="preserve">any </w:t>
      </w:r>
      <w:r w:rsidR="00056116">
        <w:rPr>
          <w:rFonts w:ascii="Arial" w:eastAsia="Arial" w:hAnsi="Arial" w:cs="Arial"/>
        </w:rPr>
        <w:t xml:space="preserve">available and eligible </w:t>
      </w:r>
      <w:r>
        <w:rPr>
          <w:rFonts w:ascii="Arial" w:eastAsia="Arial" w:hAnsi="Arial" w:cs="Arial"/>
        </w:rPr>
        <w:t xml:space="preserve">Claims Fluctuation Reserve or Incurred </w:t>
      </w:r>
      <w:r w:rsidR="00002351">
        <w:rPr>
          <w:rFonts w:ascii="Arial" w:eastAsia="Arial" w:hAnsi="Arial" w:cs="Arial"/>
        </w:rPr>
        <w:t>but</w:t>
      </w:r>
      <w:r>
        <w:rPr>
          <w:rFonts w:ascii="Arial" w:eastAsia="Arial" w:hAnsi="Arial" w:cs="Arial"/>
        </w:rPr>
        <w:t xml:space="preserve"> Not Reported reserve</w:t>
      </w:r>
      <w:r w:rsidR="00056116">
        <w:rPr>
          <w:rFonts w:ascii="Arial" w:eastAsia="Arial" w:hAnsi="Arial" w:cs="Arial"/>
        </w:rPr>
        <w:t xml:space="preserve"> or plan surpluses</w:t>
      </w:r>
      <w:r>
        <w:rPr>
          <w:rFonts w:ascii="Arial" w:eastAsia="Arial" w:hAnsi="Arial" w:cs="Arial"/>
        </w:rPr>
        <w:t xml:space="preserve"> previously </w:t>
      </w:r>
      <w:r w:rsidR="00056116">
        <w:rPr>
          <w:rFonts w:ascii="Arial" w:eastAsia="Arial" w:hAnsi="Arial" w:cs="Arial"/>
        </w:rPr>
        <w:t xml:space="preserve">owned </w:t>
      </w:r>
      <w:r>
        <w:rPr>
          <w:rFonts w:ascii="Arial" w:eastAsia="Arial" w:hAnsi="Arial" w:cs="Arial"/>
        </w:rPr>
        <w:t>by a school board</w:t>
      </w:r>
      <w:r w:rsidR="00056116">
        <w:rPr>
          <w:rFonts w:ascii="Arial" w:eastAsia="Arial" w:hAnsi="Arial" w:cs="Arial"/>
        </w:rPr>
        <w:t xml:space="preserve"> and held at an insurer</w:t>
      </w:r>
      <w:r>
        <w:rPr>
          <w:rFonts w:ascii="Arial" w:eastAsia="Arial" w:hAnsi="Arial" w:cs="Arial"/>
        </w:rPr>
        <w:t xml:space="preserve">, </w:t>
      </w:r>
      <w:r w:rsidR="00F60402" w:rsidRPr="00A9092A">
        <w:rPr>
          <w:rFonts w:ascii="Arial" w:eastAsia="Arial" w:hAnsi="Arial" w:cs="Arial"/>
        </w:rPr>
        <w:t>will</w:t>
      </w:r>
      <w:r w:rsidR="00F60402">
        <w:rPr>
          <w:rFonts w:ascii="Arial" w:eastAsia="Arial" w:hAnsi="Arial" w:cs="Arial"/>
          <w:b/>
          <w:i/>
        </w:rPr>
        <w:t xml:space="preserve"> </w:t>
      </w:r>
      <w:r>
        <w:rPr>
          <w:rFonts w:ascii="Arial" w:eastAsia="Arial" w:hAnsi="Arial" w:cs="Arial"/>
        </w:rPr>
        <w:t>be contributed to the Trust.</w:t>
      </w:r>
      <w:r w:rsidR="001709CA">
        <w:rPr>
          <w:rFonts w:ascii="Arial" w:eastAsia="Arial" w:hAnsi="Arial" w:cs="Arial"/>
        </w:rPr>
        <w:t xml:space="preserve"> </w:t>
      </w:r>
      <w:r>
        <w:rPr>
          <w:rFonts w:ascii="Arial" w:eastAsia="Arial" w:hAnsi="Arial" w:cs="Arial"/>
        </w:rPr>
        <w:t xml:space="preserve">The funded status of the </w:t>
      </w:r>
      <w:r w:rsidR="00D141B4">
        <w:rPr>
          <w:rFonts w:ascii="Arial" w:eastAsia="Arial" w:hAnsi="Arial" w:cs="Arial"/>
        </w:rPr>
        <w:t xml:space="preserve">separate accounts within the </w:t>
      </w:r>
      <w:r>
        <w:rPr>
          <w:rFonts w:ascii="Arial" w:eastAsia="Arial" w:hAnsi="Arial" w:cs="Arial"/>
        </w:rPr>
        <w:t xml:space="preserve">Trust will be determined at the end of </w:t>
      </w:r>
      <w:r w:rsidR="004E655C">
        <w:rPr>
          <w:rFonts w:ascii="Arial" w:eastAsia="Arial" w:hAnsi="Arial" w:cs="Arial"/>
        </w:rPr>
        <w:t xml:space="preserve">each </w:t>
      </w:r>
      <w:r w:rsidR="00D141B4">
        <w:rPr>
          <w:rFonts w:ascii="Arial" w:eastAsia="Arial" w:hAnsi="Arial" w:cs="Arial"/>
        </w:rPr>
        <w:t xml:space="preserve">Benefit Plan </w:t>
      </w:r>
      <w:r w:rsidR="007F64F4">
        <w:rPr>
          <w:rFonts w:ascii="Arial" w:eastAsia="Arial" w:hAnsi="Arial" w:cs="Arial"/>
        </w:rPr>
        <w:t>Y</w:t>
      </w:r>
      <w:r w:rsidR="00D141B4">
        <w:rPr>
          <w:rFonts w:ascii="Arial" w:eastAsia="Arial" w:hAnsi="Arial" w:cs="Arial"/>
        </w:rPr>
        <w:t>ear</w:t>
      </w:r>
      <w:r>
        <w:rPr>
          <w:rFonts w:ascii="Arial" w:eastAsia="Arial" w:hAnsi="Arial" w:cs="Arial"/>
        </w:rPr>
        <w:t xml:space="preserve"> (i.e., </w:t>
      </w:r>
      <w:r w:rsidR="00D141B4">
        <w:rPr>
          <w:rFonts w:ascii="Arial" w:eastAsia="Arial" w:hAnsi="Arial" w:cs="Arial"/>
        </w:rPr>
        <w:t>August</w:t>
      </w:r>
      <w:r w:rsidR="005B08DC">
        <w:rPr>
          <w:rFonts w:ascii="Arial" w:eastAsia="Arial" w:hAnsi="Arial" w:cs="Arial"/>
        </w:rPr>
        <w:t xml:space="preserve"> </w:t>
      </w:r>
      <w:r>
        <w:rPr>
          <w:rFonts w:ascii="Arial" w:eastAsia="Arial" w:hAnsi="Arial" w:cs="Arial"/>
        </w:rPr>
        <w:t>31).</w:t>
      </w:r>
      <w:r w:rsidR="001709CA">
        <w:rPr>
          <w:rFonts w:ascii="Arial" w:eastAsia="Arial" w:hAnsi="Arial" w:cs="Arial"/>
        </w:rPr>
        <w:t xml:space="preserve"> </w:t>
      </w:r>
      <w:r>
        <w:rPr>
          <w:rFonts w:ascii="Arial" w:eastAsia="Arial" w:hAnsi="Arial" w:cs="Arial"/>
        </w:rPr>
        <w:t>The purpose of the Claims Fluctuation Reserve is to mitigate the effect of unanticipated changes in claiming patterns, investment returns, administration costs and legislation.</w:t>
      </w:r>
      <w:r w:rsidR="001709CA">
        <w:rPr>
          <w:rFonts w:ascii="Arial" w:eastAsia="Arial" w:hAnsi="Arial" w:cs="Arial"/>
        </w:rPr>
        <w:t xml:space="preserve"> </w:t>
      </w:r>
      <w:r>
        <w:rPr>
          <w:rFonts w:ascii="Arial" w:eastAsia="Arial" w:hAnsi="Arial" w:cs="Arial"/>
        </w:rPr>
        <w:t>The Trustees may decide to establish additional reserves to address specific contingencies.</w:t>
      </w:r>
    </w:p>
    <w:p w14:paraId="3F89FED6" w14:textId="77777777" w:rsidR="00324C67" w:rsidRDefault="00324C67" w:rsidP="00487763">
      <w:pPr>
        <w:spacing w:line="264" w:lineRule="auto"/>
      </w:pPr>
    </w:p>
    <w:p w14:paraId="2C022C57" w14:textId="77777777" w:rsidR="00CC4BA6" w:rsidRDefault="001466D1" w:rsidP="00487763">
      <w:pPr>
        <w:spacing w:line="264" w:lineRule="auto"/>
      </w:pPr>
      <w:r>
        <w:br w:type="page"/>
      </w:r>
    </w:p>
    <w:p w14:paraId="6A6BC751" w14:textId="77777777" w:rsidR="00CC4BA6" w:rsidRPr="00673207" w:rsidRDefault="001466D1" w:rsidP="00487763">
      <w:pPr>
        <w:pStyle w:val="Heading1"/>
        <w:numPr>
          <w:ilvl w:val="0"/>
          <w:numId w:val="7"/>
        </w:numPr>
        <w:spacing w:before="0" w:line="264" w:lineRule="auto"/>
        <w:ind w:left="540" w:hanging="540"/>
        <w:rPr>
          <w:color w:val="000000"/>
          <w:sz w:val="22"/>
        </w:rPr>
      </w:pPr>
      <w:bookmarkStart w:id="3" w:name="_Toc520275060"/>
      <w:r>
        <w:rPr>
          <w:color w:val="000000"/>
        </w:rPr>
        <w:lastRenderedPageBreak/>
        <w:t>Underlying Principles</w:t>
      </w:r>
      <w:bookmarkEnd w:id="3"/>
    </w:p>
    <w:p w14:paraId="43CA53BB" w14:textId="77777777" w:rsidR="00673207" w:rsidRDefault="00673207" w:rsidP="00487763">
      <w:pPr>
        <w:spacing w:line="264" w:lineRule="auto"/>
        <w:ind w:left="547"/>
        <w:rPr>
          <w:rFonts w:ascii="Arial" w:eastAsia="Arial" w:hAnsi="Arial" w:cs="Arial"/>
        </w:rPr>
      </w:pPr>
    </w:p>
    <w:p w14:paraId="43FAF697" w14:textId="77777777" w:rsidR="00CC4BA6" w:rsidRDefault="001466D1" w:rsidP="00487763">
      <w:pPr>
        <w:numPr>
          <w:ilvl w:val="1"/>
          <w:numId w:val="7"/>
        </w:numPr>
        <w:spacing w:line="264" w:lineRule="auto"/>
        <w:ind w:left="1260" w:hanging="720"/>
        <w:rPr>
          <w:rFonts w:ascii="Arial" w:eastAsia="Arial" w:hAnsi="Arial" w:cs="Arial"/>
        </w:rPr>
      </w:pPr>
      <w:r>
        <w:rPr>
          <w:rFonts w:ascii="Arial" w:eastAsia="Arial" w:hAnsi="Arial" w:cs="Arial"/>
        </w:rPr>
        <w:t>This Policy is developed with a foundation in four underlying principles, as follows:</w:t>
      </w:r>
    </w:p>
    <w:p w14:paraId="0DD2C78A" w14:textId="1C85F574" w:rsidR="00CC4BA6" w:rsidRDefault="001466D1" w:rsidP="00487763">
      <w:pPr>
        <w:numPr>
          <w:ilvl w:val="0"/>
          <w:numId w:val="2"/>
        </w:numPr>
        <w:spacing w:before="120" w:line="264" w:lineRule="auto"/>
        <w:ind w:left="2534" w:hanging="1267"/>
        <w:rPr>
          <w:rFonts w:ascii="Arial" w:eastAsia="Arial" w:hAnsi="Arial" w:cs="Arial"/>
        </w:rPr>
      </w:pPr>
      <w:r>
        <w:rPr>
          <w:rFonts w:ascii="Arial" w:eastAsia="Arial" w:hAnsi="Arial" w:cs="Arial"/>
        </w:rPr>
        <w:t xml:space="preserve">There should be an even-handed sharing of risk and reward between classes of Trust beneficiaries. To fulfill this </w:t>
      </w:r>
      <w:r w:rsidR="0039654A">
        <w:rPr>
          <w:rFonts w:ascii="Arial" w:eastAsia="Arial" w:hAnsi="Arial" w:cs="Arial"/>
        </w:rPr>
        <w:t>principle</w:t>
      </w:r>
      <w:r>
        <w:rPr>
          <w:rFonts w:ascii="Arial" w:eastAsia="Arial" w:hAnsi="Arial" w:cs="Arial"/>
        </w:rPr>
        <w:t xml:space="preserve">, the Trustees will act impartially between classes of members after </w:t>
      </w:r>
      <w:r w:rsidR="00002351">
        <w:rPr>
          <w:rFonts w:ascii="Arial" w:eastAsia="Arial" w:hAnsi="Arial" w:cs="Arial"/>
        </w:rPr>
        <w:t>considering</w:t>
      </w:r>
      <w:r>
        <w:rPr>
          <w:rFonts w:ascii="Arial" w:eastAsia="Arial" w:hAnsi="Arial" w:cs="Arial"/>
        </w:rPr>
        <w:t xml:space="preserve"> all proper considerations when </w:t>
      </w:r>
      <w:r w:rsidR="00002351">
        <w:rPr>
          <w:rFonts w:ascii="Arial" w:eastAsia="Arial" w:hAnsi="Arial" w:cs="Arial"/>
        </w:rPr>
        <w:t xml:space="preserve">making </w:t>
      </w:r>
      <w:r>
        <w:rPr>
          <w:rFonts w:ascii="Arial" w:eastAsia="Arial" w:hAnsi="Arial" w:cs="Arial"/>
        </w:rPr>
        <w:t>any changes to the Trust’s benefit provisions.</w:t>
      </w:r>
      <w:r w:rsidR="001709CA">
        <w:rPr>
          <w:rFonts w:ascii="Arial" w:eastAsia="Arial" w:hAnsi="Arial" w:cs="Arial"/>
        </w:rPr>
        <w:t xml:space="preserve"> </w:t>
      </w:r>
    </w:p>
    <w:p w14:paraId="6A3DB3F3" w14:textId="77777777" w:rsidR="00CC4BA6" w:rsidRDefault="001466D1" w:rsidP="00487763">
      <w:pPr>
        <w:numPr>
          <w:ilvl w:val="0"/>
          <w:numId w:val="2"/>
        </w:numPr>
        <w:spacing w:before="120" w:line="264" w:lineRule="auto"/>
        <w:ind w:left="2534" w:hanging="1267"/>
        <w:rPr>
          <w:rFonts w:ascii="Arial" w:eastAsia="Arial" w:hAnsi="Arial" w:cs="Arial"/>
        </w:rPr>
      </w:pPr>
      <w:r>
        <w:rPr>
          <w:rFonts w:ascii="Arial" w:eastAsia="Arial" w:hAnsi="Arial" w:cs="Arial"/>
        </w:rPr>
        <w:t>The primary focus for the Funding Policy is the financial basis upon which benefits are provided to Beneficiaries including setting out the consequences of deficiencies or surpluses in relation to the Trust’s liabilities and the consequences of contribution shortfalls or excesses in relation to the costs of the benefits.</w:t>
      </w:r>
    </w:p>
    <w:p w14:paraId="5C2D61AB" w14:textId="5A2617E4" w:rsidR="00CC4BA6" w:rsidRDefault="001466D1" w:rsidP="00487763">
      <w:pPr>
        <w:numPr>
          <w:ilvl w:val="0"/>
          <w:numId w:val="2"/>
        </w:numPr>
        <w:spacing w:before="120" w:line="264" w:lineRule="auto"/>
        <w:ind w:left="2534" w:hanging="1267"/>
        <w:rPr>
          <w:rFonts w:ascii="Arial" w:eastAsia="Arial" w:hAnsi="Arial" w:cs="Arial"/>
        </w:rPr>
      </w:pPr>
      <w:r>
        <w:rPr>
          <w:rFonts w:ascii="Arial" w:eastAsia="Arial" w:hAnsi="Arial" w:cs="Arial"/>
        </w:rPr>
        <w:t>The level of benefits to be provided to Trust beneficiaries should be determined and assessed, from time to time, on a long-term going concern basis which incorporates enough conservatism so that the Trustees believe it to be realistic that the benefits can be provided with a reasonable probability and that the Trust is sustainable in the long-term</w:t>
      </w:r>
    </w:p>
    <w:p w14:paraId="5408C8A4" w14:textId="77777777" w:rsidR="00CC4BA6" w:rsidRDefault="001466D1" w:rsidP="00487763">
      <w:pPr>
        <w:numPr>
          <w:ilvl w:val="0"/>
          <w:numId w:val="2"/>
        </w:numPr>
        <w:spacing w:before="120" w:line="264" w:lineRule="auto"/>
        <w:ind w:left="2534" w:hanging="1267"/>
        <w:rPr>
          <w:rFonts w:ascii="Arial" w:eastAsia="Arial" w:hAnsi="Arial" w:cs="Arial"/>
        </w:rPr>
      </w:pPr>
      <w:r>
        <w:rPr>
          <w:rFonts w:ascii="Arial" w:eastAsia="Arial" w:hAnsi="Arial" w:cs="Arial"/>
        </w:rPr>
        <w:t xml:space="preserve">Market yields on </w:t>
      </w:r>
      <w:r w:rsidR="007326DD">
        <w:rPr>
          <w:rFonts w:ascii="Arial" w:eastAsia="Arial" w:hAnsi="Arial" w:cs="Arial"/>
        </w:rPr>
        <w:t xml:space="preserve">nominal </w:t>
      </w:r>
      <w:r>
        <w:rPr>
          <w:rFonts w:ascii="Arial" w:eastAsia="Arial" w:hAnsi="Arial" w:cs="Arial"/>
        </w:rPr>
        <w:t>long-term government bonds are the best unbiased measure of future investment performance for a lowest risk investment portfolio</w:t>
      </w:r>
      <w:r w:rsidR="00374ECE">
        <w:rPr>
          <w:rFonts w:ascii="Arial" w:eastAsia="Arial" w:hAnsi="Arial" w:cs="Arial"/>
        </w:rPr>
        <w:t>. The Trust will manage its investments with due regard to balancing risk and return objecti</w:t>
      </w:r>
      <w:r w:rsidR="0004686D">
        <w:rPr>
          <w:rFonts w:ascii="Arial" w:eastAsia="Arial" w:hAnsi="Arial" w:cs="Arial"/>
        </w:rPr>
        <w:t>ves. The Trust will execute an investment strategy designed to deliver a long term return sufficient to sustain the reserves of the trust in addition to providing sufficient liquidity to meet the Trust’s financial obligations</w:t>
      </w:r>
      <w:r>
        <w:rPr>
          <w:rFonts w:ascii="Arial" w:eastAsia="Arial" w:hAnsi="Arial" w:cs="Arial"/>
        </w:rPr>
        <w:t>.</w:t>
      </w:r>
      <w:r w:rsidR="001709CA">
        <w:rPr>
          <w:rFonts w:ascii="Arial" w:eastAsia="Arial" w:hAnsi="Arial" w:cs="Arial"/>
        </w:rPr>
        <w:t xml:space="preserve"> </w:t>
      </w:r>
      <w:r>
        <w:rPr>
          <w:rFonts w:ascii="Arial" w:eastAsia="Arial" w:hAnsi="Arial" w:cs="Arial"/>
        </w:rPr>
        <w:t>After making certain deductions, investment income is subject to income tax.</w:t>
      </w:r>
    </w:p>
    <w:p w14:paraId="70062E84" w14:textId="77777777" w:rsidR="00CC4BA6" w:rsidRDefault="00CC4BA6" w:rsidP="00487763">
      <w:pPr>
        <w:spacing w:line="264" w:lineRule="auto"/>
        <w:ind w:left="1080"/>
        <w:rPr>
          <w:rFonts w:ascii="Arial" w:eastAsia="Arial" w:hAnsi="Arial" w:cs="Arial"/>
        </w:rPr>
      </w:pPr>
    </w:p>
    <w:p w14:paraId="38337038" w14:textId="77777777" w:rsidR="00CC4BA6" w:rsidRDefault="001466D1" w:rsidP="00487763">
      <w:pPr>
        <w:spacing w:line="264" w:lineRule="auto"/>
      </w:pPr>
      <w:r>
        <w:br w:type="page"/>
      </w:r>
    </w:p>
    <w:p w14:paraId="2864EE56" w14:textId="77777777" w:rsidR="00CC4BA6" w:rsidRPr="00673207" w:rsidRDefault="001466D1" w:rsidP="00487763">
      <w:pPr>
        <w:pStyle w:val="Heading1"/>
        <w:numPr>
          <w:ilvl w:val="0"/>
          <w:numId w:val="7"/>
        </w:numPr>
        <w:spacing w:before="0" w:line="264" w:lineRule="auto"/>
        <w:ind w:left="540" w:hanging="540"/>
        <w:rPr>
          <w:color w:val="000000"/>
          <w:sz w:val="22"/>
        </w:rPr>
      </w:pPr>
      <w:bookmarkStart w:id="4" w:name="_Toc520275061"/>
      <w:r>
        <w:rPr>
          <w:color w:val="000000"/>
        </w:rPr>
        <w:lastRenderedPageBreak/>
        <w:t>Key Risks</w:t>
      </w:r>
      <w:bookmarkEnd w:id="4"/>
    </w:p>
    <w:p w14:paraId="4318127D" w14:textId="77777777" w:rsidR="00673207" w:rsidRDefault="00673207" w:rsidP="00487763">
      <w:pPr>
        <w:spacing w:line="264" w:lineRule="auto"/>
        <w:ind w:left="547"/>
        <w:rPr>
          <w:rFonts w:ascii="Arial" w:eastAsia="Arial" w:hAnsi="Arial" w:cs="Arial"/>
        </w:rPr>
      </w:pPr>
    </w:p>
    <w:p w14:paraId="0D8A1690" w14:textId="77777777" w:rsidR="00CC4BA6" w:rsidRDefault="001466D1" w:rsidP="00487763">
      <w:pPr>
        <w:numPr>
          <w:ilvl w:val="1"/>
          <w:numId w:val="7"/>
        </w:numPr>
        <w:spacing w:line="264" w:lineRule="auto"/>
        <w:ind w:left="1260" w:hanging="720"/>
        <w:rPr>
          <w:rFonts w:ascii="Arial" w:eastAsia="Arial" w:hAnsi="Arial" w:cs="Arial"/>
        </w:rPr>
      </w:pPr>
      <w:r>
        <w:rPr>
          <w:rFonts w:ascii="Arial" w:eastAsia="Arial" w:hAnsi="Arial" w:cs="Arial"/>
        </w:rPr>
        <w:t>Key risks faced by the Trust are outlined below.</w:t>
      </w:r>
      <w:r w:rsidR="001709CA">
        <w:rPr>
          <w:rFonts w:ascii="Arial" w:eastAsia="Arial" w:hAnsi="Arial" w:cs="Arial"/>
        </w:rPr>
        <w:t xml:space="preserve"> </w:t>
      </w:r>
      <w:r>
        <w:rPr>
          <w:rFonts w:ascii="Arial" w:eastAsia="Arial" w:hAnsi="Arial" w:cs="Arial"/>
        </w:rPr>
        <w:t xml:space="preserve">These risks should be considered in the context of the Underlying Principles articulated in Section 3 above. </w:t>
      </w:r>
    </w:p>
    <w:p w14:paraId="05903AED" w14:textId="77777777" w:rsidR="00CC4BA6" w:rsidRDefault="001466D1" w:rsidP="00487763">
      <w:pPr>
        <w:numPr>
          <w:ilvl w:val="0"/>
          <w:numId w:val="3"/>
        </w:numPr>
        <w:tabs>
          <w:tab w:val="left" w:pos="1800"/>
        </w:tabs>
        <w:spacing w:before="120" w:line="264" w:lineRule="auto"/>
        <w:ind w:left="1699" w:hanging="432"/>
        <w:rPr>
          <w:rFonts w:ascii="Arial" w:eastAsia="Arial" w:hAnsi="Arial" w:cs="Arial"/>
        </w:rPr>
      </w:pPr>
      <w:r>
        <w:rPr>
          <w:rFonts w:ascii="Arial" w:eastAsia="Arial" w:hAnsi="Arial" w:cs="Arial"/>
          <w:b/>
        </w:rPr>
        <w:t>Claiming Costs and Patterns</w:t>
      </w:r>
      <w:r>
        <w:rPr>
          <w:rFonts w:ascii="Arial" w:eastAsia="Arial" w:hAnsi="Arial" w:cs="Arial"/>
        </w:rPr>
        <w:t xml:space="preserve">: </w:t>
      </w:r>
      <w:r w:rsidR="00673207">
        <w:rPr>
          <w:rFonts w:ascii="Arial" w:eastAsia="Arial" w:hAnsi="Arial" w:cs="Arial"/>
        </w:rPr>
        <w:t xml:space="preserve"> </w:t>
      </w:r>
      <w:r>
        <w:rPr>
          <w:rFonts w:ascii="Arial" w:eastAsia="Arial" w:hAnsi="Arial" w:cs="Arial"/>
        </w:rPr>
        <w:t>This relates to the risk claims costs, or their frequency, are higher than estimated.</w:t>
      </w:r>
      <w:r w:rsidR="001709CA">
        <w:rPr>
          <w:rFonts w:ascii="Arial" w:eastAsia="Arial" w:hAnsi="Arial" w:cs="Arial"/>
        </w:rPr>
        <w:t xml:space="preserve"> </w:t>
      </w:r>
      <w:r>
        <w:rPr>
          <w:rFonts w:ascii="Arial" w:eastAsia="Arial" w:hAnsi="Arial" w:cs="Arial"/>
        </w:rPr>
        <w:t xml:space="preserve">This includes the risk that claims costs increase at a faster rate and/or utilization is higher than assumed in assessing the sufficiency of contributions. Benefit fraud risk must also be considered. </w:t>
      </w:r>
    </w:p>
    <w:p w14:paraId="45758054" w14:textId="2768517B" w:rsidR="00CC4BA6" w:rsidRDefault="001466D1" w:rsidP="00487763">
      <w:pPr>
        <w:numPr>
          <w:ilvl w:val="0"/>
          <w:numId w:val="3"/>
        </w:numPr>
        <w:tabs>
          <w:tab w:val="left" w:pos="1800"/>
        </w:tabs>
        <w:spacing w:before="120" w:line="264" w:lineRule="auto"/>
        <w:ind w:left="1699" w:hanging="432"/>
        <w:rPr>
          <w:rFonts w:ascii="Arial" w:eastAsia="Arial" w:hAnsi="Arial" w:cs="Arial"/>
        </w:rPr>
      </w:pPr>
      <w:r>
        <w:rPr>
          <w:rFonts w:ascii="Arial" w:eastAsia="Arial" w:hAnsi="Arial" w:cs="Arial"/>
          <w:b/>
        </w:rPr>
        <w:t>Membership</w:t>
      </w:r>
      <w:r>
        <w:rPr>
          <w:rFonts w:ascii="Arial" w:eastAsia="Arial" w:hAnsi="Arial" w:cs="Arial"/>
        </w:rPr>
        <w:t>:</w:t>
      </w:r>
      <w:r w:rsidR="00673207">
        <w:rPr>
          <w:rFonts w:ascii="Arial" w:eastAsia="Arial" w:hAnsi="Arial" w:cs="Arial"/>
        </w:rPr>
        <w:t xml:space="preserve"> </w:t>
      </w:r>
      <w:r>
        <w:rPr>
          <w:rFonts w:ascii="Arial" w:eastAsia="Arial" w:hAnsi="Arial" w:cs="Arial"/>
        </w:rPr>
        <w:t xml:space="preserve"> There may be a risk to the Trust if the membership profile changes significantly.</w:t>
      </w:r>
      <w:r w:rsidR="001709CA">
        <w:rPr>
          <w:rFonts w:ascii="Arial" w:eastAsia="Arial" w:hAnsi="Arial" w:cs="Arial"/>
        </w:rPr>
        <w:t xml:space="preserve"> </w:t>
      </w:r>
      <w:r>
        <w:rPr>
          <w:rFonts w:ascii="Arial" w:eastAsia="Arial" w:hAnsi="Arial" w:cs="Arial"/>
        </w:rPr>
        <w:t xml:space="preserve">This could </w:t>
      </w:r>
      <w:r w:rsidR="00AD6024">
        <w:rPr>
          <w:rFonts w:ascii="Arial" w:eastAsia="Arial" w:hAnsi="Arial" w:cs="Arial"/>
        </w:rPr>
        <w:t xml:space="preserve">also </w:t>
      </w:r>
      <w:r>
        <w:rPr>
          <w:rFonts w:ascii="Arial" w:eastAsia="Arial" w:hAnsi="Arial" w:cs="Arial"/>
        </w:rPr>
        <w:t xml:space="preserve">be the result of changing employment patterns whereby there is a larger portion of part-time employment </w:t>
      </w:r>
      <w:r w:rsidR="00AD6024">
        <w:rPr>
          <w:rFonts w:ascii="Arial" w:eastAsia="Arial" w:hAnsi="Arial" w:cs="Arial"/>
        </w:rPr>
        <w:t>or</w:t>
      </w:r>
      <w:r w:rsidR="00595AFD">
        <w:rPr>
          <w:rFonts w:ascii="Arial" w:eastAsia="Arial" w:hAnsi="Arial" w:cs="Arial"/>
        </w:rPr>
        <w:t xml:space="preserve"> </w:t>
      </w:r>
      <w:r w:rsidR="00595AFD" w:rsidRPr="00A9092A">
        <w:rPr>
          <w:rFonts w:ascii="Arial" w:eastAsia="Arial" w:hAnsi="Arial" w:cs="Arial"/>
        </w:rPr>
        <w:t>eligible</w:t>
      </w:r>
      <w:r w:rsidR="00AD6024">
        <w:rPr>
          <w:rFonts w:ascii="Arial" w:eastAsia="Arial" w:hAnsi="Arial" w:cs="Arial"/>
        </w:rPr>
        <w:t xml:space="preserve"> long term occasional </w:t>
      </w:r>
      <w:r w:rsidR="00086642">
        <w:rPr>
          <w:rFonts w:ascii="Arial" w:eastAsia="Arial" w:hAnsi="Arial" w:cs="Arial"/>
        </w:rPr>
        <w:t>teachers</w:t>
      </w:r>
      <w:r w:rsidR="00AD6024">
        <w:rPr>
          <w:rFonts w:ascii="Arial" w:eastAsia="Arial" w:hAnsi="Arial" w:cs="Arial"/>
        </w:rPr>
        <w:t xml:space="preserve"> </w:t>
      </w:r>
      <w:r>
        <w:rPr>
          <w:rFonts w:ascii="Arial" w:eastAsia="Arial" w:hAnsi="Arial" w:cs="Arial"/>
        </w:rPr>
        <w:t>or the age</w:t>
      </w:r>
      <w:r w:rsidR="00AD6024">
        <w:rPr>
          <w:rFonts w:ascii="Arial" w:eastAsia="Arial" w:hAnsi="Arial" w:cs="Arial"/>
        </w:rPr>
        <w:t>, gender or single/family coverage</w:t>
      </w:r>
      <w:r>
        <w:rPr>
          <w:rFonts w:ascii="Arial" w:eastAsia="Arial" w:hAnsi="Arial" w:cs="Arial"/>
        </w:rPr>
        <w:t xml:space="preserve"> profile of the membership changes</w:t>
      </w:r>
      <w:r w:rsidR="00AD6024">
        <w:rPr>
          <w:rFonts w:ascii="Arial" w:eastAsia="Arial" w:hAnsi="Arial" w:cs="Arial"/>
        </w:rPr>
        <w:t xml:space="preserve"> as examples</w:t>
      </w:r>
      <w:r>
        <w:rPr>
          <w:rFonts w:ascii="Arial" w:eastAsia="Arial" w:hAnsi="Arial" w:cs="Arial"/>
        </w:rPr>
        <w:t>.</w:t>
      </w:r>
    </w:p>
    <w:p w14:paraId="47C8FB25" w14:textId="6C5CB86F" w:rsidR="007F64F4" w:rsidRPr="00862457" w:rsidRDefault="00862457" w:rsidP="00733EDA">
      <w:pPr>
        <w:tabs>
          <w:tab w:val="left" w:pos="1701"/>
        </w:tabs>
        <w:spacing w:before="120" w:line="264" w:lineRule="auto"/>
        <w:ind w:left="1170"/>
        <w:rPr>
          <w:rFonts w:ascii="Arial" w:eastAsia="Arial" w:hAnsi="Arial" w:cs="Arial"/>
          <w:strike/>
        </w:rPr>
      </w:pPr>
      <w:r w:rsidRPr="00862457">
        <w:rPr>
          <w:rFonts w:ascii="Arial" w:eastAsia="Arial" w:hAnsi="Arial" w:cs="Arial"/>
        </w:rPr>
        <w:t>c</w:t>
      </w:r>
      <w:r>
        <w:rPr>
          <w:rFonts w:ascii="Arial" w:eastAsia="Arial" w:hAnsi="Arial" w:cs="Arial"/>
        </w:rPr>
        <w:t>)</w:t>
      </w:r>
      <w:r>
        <w:rPr>
          <w:rFonts w:ascii="Arial" w:eastAsia="Arial" w:hAnsi="Arial" w:cs="Arial"/>
          <w:b/>
        </w:rPr>
        <w:tab/>
      </w:r>
      <w:r w:rsidR="002D1B2A" w:rsidRPr="00862457">
        <w:rPr>
          <w:rFonts w:ascii="Arial" w:eastAsia="Arial" w:hAnsi="Arial" w:cs="Arial"/>
          <w:b/>
        </w:rPr>
        <w:t>Member cost – sharing</w:t>
      </w:r>
      <w:r w:rsidR="002D1B2A" w:rsidRPr="00862457">
        <w:rPr>
          <w:rFonts w:ascii="Arial" w:eastAsia="Arial" w:hAnsi="Arial" w:cs="Arial"/>
        </w:rPr>
        <w:t xml:space="preserve">:  There may be risk to the </w:t>
      </w:r>
      <w:r w:rsidR="006125E2" w:rsidRPr="00862457">
        <w:rPr>
          <w:rFonts w:ascii="Arial" w:eastAsia="Arial" w:hAnsi="Arial" w:cs="Arial"/>
        </w:rPr>
        <w:t>Trust</w:t>
      </w:r>
      <w:r w:rsidR="002D1B2A" w:rsidRPr="00862457">
        <w:rPr>
          <w:rFonts w:ascii="Arial" w:eastAsia="Arial" w:hAnsi="Arial" w:cs="Arial"/>
        </w:rPr>
        <w:t xml:space="preserve"> to the extent that </w:t>
      </w:r>
      <w:r>
        <w:rPr>
          <w:rFonts w:ascii="Arial" w:eastAsia="Arial" w:hAnsi="Arial" w:cs="Arial"/>
        </w:rPr>
        <w:tab/>
      </w:r>
      <w:r w:rsidR="002D1B2A" w:rsidRPr="00862457">
        <w:rPr>
          <w:rFonts w:ascii="Arial" w:eastAsia="Arial" w:hAnsi="Arial" w:cs="Arial"/>
        </w:rPr>
        <w:t xml:space="preserve">member cost-sharing is not held to the agreed upon proportion of the benefit </w:t>
      </w:r>
      <w:r>
        <w:rPr>
          <w:rFonts w:ascii="Arial" w:eastAsia="Arial" w:hAnsi="Arial" w:cs="Arial"/>
        </w:rPr>
        <w:tab/>
      </w:r>
      <w:r w:rsidR="002D1B2A" w:rsidRPr="00862457">
        <w:rPr>
          <w:rFonts w:ascii="Arial" w:eastAsia="Arial" w:hAnsi="Arial" w:cs="Arial"/>
        </w:rPr>
        <w:t>costs each plan year</w:t>
      </w:r>
      <w:r w:rsidR="006125E2" w:rsidRPr="00862457">
        <w:rPr>
          <w:rFonts w:ascii="Arial" w:eastAsia="Arial" w:hAnsi="Arial" w:cs="Arial"/>
        </w:rPr>
        <w:t>.</w:t>
      </w:r>
      <w:r w:rsidR="001709CA" w:rsidRPr="00862457">
        <w:rPr>
          <w:rFonts w:ascii="Arial" w:eastAsia="Arial" w:hAnsi="Arial" w:cs="Arial"/>
        </w:rPr>
        <w:t xml:space="preserve"> </w:t>
      </w:r>
      <w:r w:rsidR="006125E2" w:rsidRPr="00862457">
        <w:rPr>
          <w:rFonts w:ascii="Arial" w:eastAsia="Arial" w:hAnsi="Arial" w:cs="Arial"/>
        </w:rPr>
        <w:t xml:space="preserve">The member cost – sharing may differ </w:t>
      </w:r>
      <w:r w:rsidR="002D1B2A" w:rsidRPr="00862457">
        <w:rPr>
          <w:rFonts w:ascii="Arial" w:eastAsia="Arial" w:hAnsi="Arial" w:cs="Arial"/>
        </w:rPr>
        <w:t xml:space="preserve">due to the lag in </w:t>
      </w:r>
      <w:r>
        <w:rPr>
          <w:rFonts w:ascii="Arial" w:eastAsia="Arial" w:hAnsi="Arial" w:cs="Arial"/>
        </w:rPr>
        <w:tab/>
      </w:r>
      <w:r w:rsidR="002D1B2A" w:rsidRPr="00862457">
        <w:rPr>
          <w:rFonts w:ascii="Arial" w:eastAsia="Arial" w:hAnsi="Arial" w:cs="Arial"/>
        </w:rPr>
        <w:t xml:space="preserve">implementing premium increases or decreases or due to implementation of a </w:t>
      </w:r>
      <w:r>
        <w:rPr>
          <w:rFonts w:ascii="Arial" w:eastAsia="Arial" w:hAnsi="Arial" w:cs="Arial"/>
        </w:rPr>
        <w:tab/>
      </w:r>
      <w:r w:rsidR="002D1B2A" w:rsidRPr="00862457">
        <w:rPr>
          <w:rFonts w:ascii="Arial" w:eastAsia="Arial" w:hAnsi="Arial" w:cs="Arial"/>
        </w:rPr>
        <w:t>member premium change that is different than the aggregate premium change</w:t>
      </w:r>
      <w:r w:rsidR="002D1B2A" w:rsidRPr="00862457">
        <w:rPr>
          <w:rFonts w:ascii="Arial" w:eastAsia="Arial" w:hAnsi="Arial" w:cs="Arial"/>
          <w:strike/>
        </w:rPr>
        <w:t>.</w:t>
      </w:r>
      <w:r w:rsidR="001709CA" w:rsidRPr="00862457">
        <w:rPr>
          <w:rFonts w:ascii="Arial" w:eastAsia="Arial" w:hAnsi="Arial" w:cs="Arial"/>
          <w:strike/>
        </w:rPr>
        <w:t xml:space="preserve"> </w:t>
      </w:r>
      <w:r w:rsidR="005E0932" w:rsidRPr="00862457">
        <w:rPr>
          <w:rFonts w:ascii="Arial" w:eastAsia="Arial" w:hAnsi="Arial" w:cs="Arial"/>
          <w:strike/>
        </w:rPr>
        <w:t xml:space="preserve"> </w:t>
      </w:r>
    </w:p>
    <w:p w14:paraId="0457921D" w14:textId="77777777" w:rsidR="00CC4BA6" w:rsidRDefault="001466D1" w:rsidP="00487763">
      <w:pPr>
        <w:numPr>
          <w:ilvl w:val="0"/>
          <w:numId w:val="3"/>
        </w:numPr>
        <w:tabs>
          <w:tab w:val="left" w:pos="1800"/>
        </w:tabs>
        <w:spacing w:before="120" w:line="264" w:lineRule="auto"/>
        <w:ind w:left="1699" w:hanging="432"/>
        <w:rPr>
          <w:rFonts w:ascii="Arial" w:eastAsia="Arial" w:hAnsi="Arial" w:cs="Arial"/>
        </w:rPr>
      </w:pPr>
      <w:r>
        <w:rPr>
          <w:rFonts w:ascii="Arial" w:eastAsia="Arial" w:hAnsi="Arial" w:cs="Arial"/>
          <w:b/>
        </w:rPr>
        <w:t>Regulatory</w:t>
      </w:r>
      <w:r>
        <w:rPr>
          <w:rFonts w:ascii="Arial" w:eastAsia="Arial" w:hAnsi="Arial" w:cs="Arial"/>
        </w:rPr>
        <w:t xml:space="preserve">: </w:t>
      </w:r>
      <w:r w:rsidR="00673207">
        <w:rPr>
          <w:rFonts w:ascii="Arial" w:eastAsia="Arial" w:hAnsi="Arial" w:cs="Arial"/>
        </w:rPr>
        <w:t xml:space="preserve"> </w:t>
      </w:r>
      <w:r>
        <w:rPr>
          <w:rFonts w:ascii="Arial" w:eastAsia="Arial" w:hAnsi="Arial" w:cs="Arial"/>
        </w:rPr>
        <w:t>Regulatory risk is the risk that legislative or regulatory changes (e.g., delisting medical services covered by the Ontario Health Insurance Plan</w:t>
      </w:r>
      <w:r w:rsidR="00F745CD">
        <w:rPr>
          <w:rFonts w:ascii="Arial" w:eastAsia="Arial" w:hAnsi="Arial" w:cs="Arial"/>
        </w:rPr>
        <w:t>, repeal of OHIP+</w:t>
      </w:r>
      <w:r>
        <w:rPr>
          <w:rFonts w:ascii="Arial" w:eastAsia="Arial" w:hAnsi="Arial" w:cs="Arial"/>
        </w:rPr>
        <w:t xml:space="preserve">) occur which impact adversely on the liabilities of the Trust. </w:t>
      </w:r>
    </w:p>
    <w:p w14:paraId="2E8D0394" w14:textId="77777777" w:rsidR="00CC4BA6" w:rsidRDefault="001466D1" w:rsidP="00487763">
      <w:pPr>
        <w:numPr>
          <w:ilvl w:val="0"/>
          <w:numId w:val="3"/>
        </w:numPr>
        <w:tabs>
          <w:tab w:val="left" w:pos="1800"/>
        </w:tabs>
        <w:spacing w:before="120" w:line="264" w:lineRule="auto"/>
        <w:ind w:left="1699" w:hanging="432"/>
        <w:rPr>
          <w:rFonts w:ascii="Arial" w:eastAsia="Arial" w:hAnsi="Arial" w:cs="Arial"/>
        </w:rPr>
      </w:pPr>
      <w:r>
        <w:rPr>
          <w:rFonts w:ascii="Arial" w:eastAsia="Arial" w:hAnsi="Arial" w:cs="Arial"/>
          <w:b/>
        </w:rPr>
        <w:t>Investment:</w:t>
      </w:r>
      <w:r>
        <w:rPr>
          <w:rFonts w:ascii="Arial" w:eastAsia="Arial" w:hAnsi="Arial" w:cs="Arial"/>
        </w:rPr>
        <w:t xml:space="preserve"> </w:t>
      </w:r>
      <w:r w:rsidR="00673207">
        <w:rPr>
          <w:rFonts w:ascii="Arial" w:eastAsia="Arial" w:hAnsi="Arial" w:cs="Arial"/>
        </w:rPr>
        <w:t xml:space="preserve"> </w:t>
      </w:r>
      <w:r>
        <w:rPr>
          <w:rFonts w:ascii="Arial" w:eastAsia="Arial" w:hAnsi="Arial" w:cs="Arial"/>
        </w:rPr>
        <w:t xml:space="preserve">Investment risk relates to investment returns achieved by the Trust </w:t>
      </w:r>
      <w:r w:rsidR="005E0932">
        <w:rPr>
          <w:rFonts w:ascii="Arial" w:eastAsia="Arial" w:hAnsi="Arial" w:cs="Arial"/>
        </w:rPr>
        <w:t xml:space="preserve">that </w:t>
      </w:r>
      <w:r w:rsidR="0039654A">
        <w:rPr>
          <w:rFonts w:ascii="Arial" w:eastAsia="Arial" w:hAnsi="Arial" w:cs="Arial"/>
        </w:rPr>
        <w:t xml:space="preserve">are either not commensurate with the level of risk being assumed </w:t>
      </w:r>
      <w:r w:rsidR="007326DD">
        <w:rPr>
          <w:rFonts w:ascii="Arial" w:eastAsia="Arial" w:hAnsi="Arial" w:cs="Arial"/>
        </w:rPr>
        <w:t xml:space="preserve">or do not meet the long term expected return targets set out by the Trust. </w:t>
      </w:r>
    </w:p>
    <w:p w14:paraId="44AEDCD7" w14:textId="5BB6D38D" w:rsidR="00595AFD" w:rsidRPr="00A9092A" w:rsidRDefault="004E655C" w:rsidP="00595AFD">
      <w:pPr>
        <w:numPr>
          <w:ilvl w:val="0"/>
          <w:numId w:val="3"/>
        </w:numPr>
        <w:tabs>
          <w:tab w:val="left" w:pos="1800"/>
        </w:tabs>
        <w:spacing w:before="120" w:line="264" w:lineRule="auto"/>
        <w:ind w:left="1699" w:hanging="432"/>
        <w:rPr>
          <w:rFonts w:ascii="Arial" w:eastAsia="Arial" w:hAnsi="Arial" w:cs="Arial"/>
        </w:rPr>
      </w:pPr>
      <w:r w:rsidRPr="004E655C">
        <w:rPr>
          <w:rFonts w:ascii="Arial" w:eastAsia="Arial" w:hAnsi="Arial" w:cs="Arial"/>
          <w:b/>
        </w:rPr>
        <w:t>Fixed funding:</w:t>
      </w:r>
      <w:r w:rsidR="00673207" w:rsidRPr="00673207">
        <w:rPr>
          <w:rFonts w:ascii="Arial" w:eastAsia="Arial" w:hAnsi="Arial" w:cs="Arial"/>
        </w:rPr>
        <w:t xml:space="preserve"> </w:t>
      </w:r>
      <w:r w:rsidRPr="00673207">
        <w:rPr>
          <w:rFonts w:ascii="Arial" w:eastAsia="Arial" w:hAnsi="Arial" w:cs="Arial"/>
        </w:rPr>
        <w:t xml:space="preserve"> </w:t>
      </w:r>
      <w:r w:rsidR="00673207">
        <w:rPr>
          <w:rFonts w:ascii="Arial" w:eastAsia="Arial" w:hAnsi="Arial" w:cs="Arial"/>
        </w:rPr>
        <w:t>T</w:t>
      </w:r>
      <w:r w:rsidRPr="004E655C">
        <w:rPr>
          <w:rFonts w:ascii="Arial" w:eastAsia="Arial" w:hAnsi="Arial" w:cs="Arial"/>
        </w:rPr>
        <w:t>he funding of the Plan is fixed based on the collective agreement</w:t>
      </w:r>
      <w:r>
        <w:rPr>
          <w:rFonts w:ascii="Arial" w:eastAsia="Arial" w:hAnsi="Arial" w:cs="Arial"/>
        </w:rPr>
        <w:t>.</w:t>
      </w:r>
      <w:r w:rsidR="001709CA">
        <w:rPr>
          <w:rFonts w:ascii="Arial" w:eastAsia="Arial" w:hAnsi="Arial" w:cs="Arial"/>
        </w:rPr>
        <w:t xml:space="preserve"> </w:t>
      </w:r>
      <w:r>
        <w:rPr>
          <w:rFonts w:ascii="Arial" w:eastAsia="Arial" w:hAnsi="Arial" w:cs="Arial"/>
        </w:rPr>
        <w:t xml:space="preserve">There is a </w:t>
      </w:r>
      <w:r w:rsidRPr="004E655C">
        <w:rPr>
          <w:rFonts w:ascii="Arial" w:eastAsia="Arial" w:hAnsi="Arial" w:cs="Arial"/>
        </w:rPr>
        <w:t xml:space="preserve">risk that the funding is not sufficient and that CFR </w:t>
      </w:r>
      <w:r>
        <w:rPr>
          <w:rFonts w:ascii="Arial" w:eastAsia="Arial" w:hAnsi="Arial" w:cs="Arial"/>
        </w:rPr>
        <w:t xml:space="preserve">will be </w:t>
      </w:r>
      <w:r w:rsidRPr="004E655C">
        <w:rPr>
          <w:rFonts w:ascii="Arial" w:eastAsia="Arial" w:hAnsi="Arial" w:cs="Arial"/>
        </w:rPr>
        <w:t>exhausted</w:t>
      </w:r>
      <w:r>
        <w:rPr>
          <w:rFonts w:ascii="Arial" w:eastAsia="Arial" w:hAnsi="Arial" w:cs="Arial"/>
        </w:rPr>
        <w:t xml:space="preserve"> with </w:t>
      </w:r>
      <w:r w:rsidRPr="004E655C">
        <w:rPr>
          <w:rFonts w:ascii="Arial" w:eastAsia="Arial" w:hAnsi="Arial" w:cs="Arial"/>
        </w:rPr>
        <w:t xml:space="preserve">no ability to negotiate higher </w:t>
      </w:r>
      <w:r>
        <w:rPr>
          <w:rFonts w:ascii="Arial" w:eastAsia="Arial" w:hAnsi="Arial" w:cs="Arial"/>
        </w:rPr>
        <w:t xml:space="preserve">per </w:t>
      </w:r>
      <w:r w:rsidRPr="004E655C">
        <w:rPr>
          <w:rFonts w:ascii="Arial" w:eastAsia="Arial" w:hAnsi="Arial" w:cs="Arial"/>
        </w:rPr>
        <w:t xml:space="preserve">FTE </w:t>
      </w:r>
      <w:r>
        <w:rPr>
          <w:rFonts w:ascii="Arial" w:eastAsia="Arial" w:hAnsi="Arial" w:cs="Arial"/>
        </w:rPr>
        <w:t xml:space="preserve">funding </w:t>
      </w:r>
      <w:r w:rsidRPr="004E655C">
        <w:rPr>
          <w:rFonts w:ascii="Arial" w:eastAsia="Arial" w:hAnsi="Arial" w:cs="Arial"/>
        </w:rPr>
        <w:t>amounts</w:t>
      </w:r>
      <w:r>
        <w:rPr>
          <w:rFonts w:ascii="Arial" w:eastAsia="Arial" w:hAnsi="Arial" w:cs="Arial"/>
        </w:rPr>
        <w:t>.</w:t>
      </w:r>
      <w:r w:rsidR="005E0932">
        <w:rPr>
          <w:rFonts w:ascii="Arial" w:eastAsia="Arial" w:hAnsi="Arial" w:cs="Arial"/>
        </w:rPr>
        <w:t xml:space="preserve"> If Plan funding levels are negotiated in a renewal collective agreement, but </w:t>
      </w:r>
      <w:r w:rsidR="00355FCC">
        <w:rPr>
          <w:rFonts w:ascii="Arial" w:eastAsia="Arial" w:hAnsi="Arial" w:cs="Arial"/>
        </w:rPr>
        <w:t>the renewal agreement is not concluded in a timely way, there is also a risk that Plan funding will fall behind and the CFR will be exhausted pending the conclusion of negotiations and any retroactive payments.</w:t>
      </w:r>
    </w:p>
    <w:p w14:paraId="0F6E4B21" w14:textId="77777777" w:rsidR="006A696B" w:rsidRPr="004E655C" w:rsidRDefault="006A696B" w:rsidP="00487763">
      <w:pPr>
        <w:numPr>
          <w:ilvl w:val="0"/>
          <w:numId w:val="3"/>
        </w:numPr>
        <w:tabs>
          <w:tab w:val="left" w:pos="1800"/>
        </w:tabs>
        <w:spacing w:before="120" w:line="264" w:lineRule="auto"/>
        <w:ind w:left="1699" w:hanging="432"/>
        <w:rPr>
          <w:rFonts w:ascii="Arial" w:eastAsia="Arial" w:hAnsi="Arial" w:cs="Arial"/>
        </w:rPr>
      </w:pPr>
      <w:r>
        <w:rPr>
          <w:rFonts w:ascii="Arial" w:eastAsia="Arial" w:hAnsi="Arial" w:cs="Arial"/>
          <w:b/>
        </w:rPr>
        <w:t>Other risks identified by the Trust outlined in the OSSTF ELHT Risk Dashboard</w:t>
      </w:r>
    </w:p>
    <w:p w14:paraId="1544EFDB" w14:textId="77777777" w:rsidR="00CC4BA6" w:rsidRDefault="00CC4BA6" w:rsidP="00487763">
      <w:pPr>
        <w:spacing w:line="264" w:lineRule="auto"/>
        <w:rPr>
          <w:rFonts w:ascii="Arial" w:eastAsia="Arial" w:hAnsi="Arial" w:cs="Arial"/>
        </w:rPr>
      </w:pPr>
    </w:p>
    <w:p w14:paraId="10B2673F" w14:textId="1EE27023" w:rsidR="00673207" w:rsidRDefault="001466D1" w:rsidP="003D6F9F">
      <w:pPr>
        <w:spacing w:line="264" w:lineRule="auto"/>
        <w:ind w:left="1701"/>
        <w:rPr>
          <w:rFonts w:ascii="Arial" w:eastAsia="Arial" w:hAnsi="Arial" w:cs="Arial"/>
        </w:rPr>
      </w:pPr>
      <w:r>
        <w:rPr>
          <w:rFonts w:ascii="Arial" w:eastAsia="Arial" w:hAnsi="Arial" w:cs="Arial"/>
        </w:rPr>
        <w:t xml:space="preserve">Some of the risks outlined above are beyond the control of the Trustees whereas others </w:t>
      </w:r>
      <w:r w:rsidR="00677498">
        <w:rPr>
          <w:rFonts w:ascii="Arial" w:eastAsia="Arial" w:hAnsi="Arial" w:cs="Arial"/>
        </w:rPr>
        <w:t xml:space="preserve">may be managed </w:t>
      </w:r>
      <w:r w:rsidR="005E00B7">
        <w:rPr>
          <w:rFonts w:ascii="Arial" w:eastAsia="Arial" w:hAnsi="Arial" w:cs="Arial"/>
        </w:rPr>
        <w:t>b</w:t>
      </w:r>
      <w:r w:rsidR="00677498">
        <w:rPr>
          <w:rFonts w:ascii="Arial" w:eastAsia="Arial" w:hAnsi="Arial" w:cs="Arial"/>
        </w:rPr>
        <w:t>y the Trustees over time</w:t>
      </w:r>
      <w:r>
        <w:rPr>
          <w:rFonts w:ascii="Arial" w:eastAsia="Arial" w:hAnsi="Arial" w:cs="Arial"/>
        </w:rPr>
        <w:t>. For example, regulatory risks are not within the control of the Trustees but claiming cost risk can be controlled through the establishment of lower benefit levels and other plan management approaches. This Policy is intended to provide a framework for the Trustees to prudently manage and monitor risk, where possible and practical</w:t>
      </w:r>
      <w:r w:rsidR="00810B65">
        <w:rPr>
          <w:rFonts w:ascii="Arial" w:eastAsia="Arial" w:hAnsi="Arial" w:cs="Arial"/>
        </w:rPr>
        <w:t>.</w:t>
      </w:r>
      <w:r w:rsidR="00673207">
        <w:rPr>
          <w:rFonts w:ascii="Arial" w:eastAsia="Arial" w:hAnsi="Arial" w:cs="Arial"/>
        </w:rPr>
        <w:br w:type="page"/>
      </w:r>
    </w:p>
    <w:p w14:paraId="272FA8B1" w14:textId="77777777" w:rsidR="00CC4BA6" w:rsidRPr="00673207" w:rsidRDefault="001466D1" w:rsidP="00487763">
      <w:pPr>
        <w:pStyle w:val="Heading1"/>
        <w:numPr>
          <w:ilvl w:val="0"/>
          <w:numId w:val="7"/>
        </w:numPr>
        <w:spacing w:before="0" w:line="264" w:lineRule="auto"/>
        <w:ind w:left="540" w:hanging="540"/>
        <w:rPr>
          <w:color w:val="000000"/>
          <w:sz w:val="22"/>
        </w:rPr>
      </w:pPr>
      <w:bookmarkStart w:id="5" w:name="_Toc520275062"/>
      <w:r>
        <w:rPr>
          <w:color w:val="000000"/>
        </w:rPr>
        <w:lastRenderedPageBreak/>
        <w:t>Management of Risk</w:t>
      </w:r>
      <w:bookmarkEnd w:id="5"/>
    </w:p>
    <w:p w14:paraId="6A6748BE" w14:textId="77777777" w:rsidR="00673207" w:rsidRDefault="00673207" w:rsidP="00487763">
      <w:pPr>
        <w:spacing w:line="264" w:lineRule="auto"/>
        <w:ind w:left="567"/>
        <w:rPr>
          <w:rFonts w:ascii="Arial" w:eastAsia="Arial" w:hAnsi="Arial" w:cs="Arial"/>
        </w:rPr>
      </w:pPr>
    </w:p>
    <w:p w14:paraId="175E94F1" w14:textId="77777777" w:rsidR="00CC4BA6" w:rsidRDefault="001466D1" w:rsidP="00487763">
      <w:pPr>
        <w:numPr>
          <w:ilvl w:val="1"/>
          <w:numId w:val="7"/>
        </w:numPr>
        <w:spacing w:line="264" w:lineRule="auto"/>
        <w:ind w:left="1260" w:hanging="693"/>
        <w:rPr>
          <w:rFonts w:ascii="Arial" w:eastAsia="Arial" w:hAnsi="Arial" w:cs="Arial"/>
        </w:rPr>
      </w:pPr>
      <w:r>
        <w:rPr>
          <w:rFonts w:ascii="Arial" w:eastAsia="Arial" w:hAnsi="Arial" w:cs="Arial"/>
        </w:rPr>
        <w:t>The Trust’s liability structure and cash flows, both current and projected, and related risks are considered, monitored and managed in the following main ways:</w:t>
      </w:r>
    </w:p>
    <w:p w14:paraId="228494F4" w14:textId="77777777" w:rsidR="00673207" w:rsidRDefault="001466D1" w:rsidP="00487763">
      <w:pPr>
        <w:numPr>
          <w:ilvl w:val="0"/>
          <w:numId w:val="4"/>
        </w:numPr>
        <w:tabs>
          <w:tab w:val="left" w:pos="1800"/>
        </w:tabs>
        <w:spacing w:before="120" w:line="264" w:lineRule="auto"/>
        <w:ind w:left="1699" w:hanging="432"/>
        <w:rPr>
          <w:rFonts w:ascii="Arial" w:eastAsia="Arial" w:hAnsi="Arial" w:cs="Arial"/>
        </w:rPr>
      </w:pPr>
      <w:r w:rsidRPr="00673207">
        <w:rPr>
          <w:rFonts w:ascii="Arial" w:eastAsia="Arial" w:hAnsi="Arial" w:cs="Arial"/>
          <w:b/>
        </w:rPr>
        <w:t>Claims Reviews</w:t>
      </w:r>
      <w:r w:rsidRPr="00673207">
        <w:rPr>
          <w:rFonts w:ascii="Arial" w:eastAsia="Arial" w:hAnsi="Arial" w:cs="Arial"/>
        </w:rPr>
        <w:t xml:space="preserve">: </w:t>
      </w:r>
      <w:r w:rsidR="00AD2628">
        <w:rPr>
          <w:rFonts w:ascii="Arial" w:eastAsia="Arial" w:hAnsi="Arial" w:cs="Arial"/>
        </w:rPr>
        <w:t xml:space="preserve"> </w:t>
      </w:r>
      <w:r w:rsidRPr="00673207">
        <w:rPr>
          <w:rFonts w:ascii="Arial" w:eastAsia="Arial" w:hAnsi="Arial" w:cs="Arial"/>
        </w:rPr>
        <w:t>Periodically the Trustees will conduct</w:t>
      </w:r>
      <w:r w:rsidR="00677498">
        <w:rPr>
          <w:rFonts w:ascii="Arial" w:eastAsia="Arial" w:hAnsi="Arial" w:cs="Arial"/>
        </w:rPr>
        <w:t xml:space="preserve"> a</w:t>
      </w:r>
      <w:r w:rsidRPr="00673207">
        <w:rPr>
          <w:rFonts w:ascii="Arial" w:eastAsia="Arial" w:hAnsi="Arial" w:cs="Arial"/>
        </w:rPr>
        <w:t xml:space="preserve"> detailed review of claiming patterns and changes in the provision of health care in Ontario to ensure the benefits are provided as efficiently as possible in the best interests of the Trust’s beneficiaries.</w:t>
      </w:r>
      <w:r w:rsidR="001709CA">
        <w:rPr>
          <w:rFonts w:ascii="Arial" w:eastAsia="Arial" w:hAnsi="Arial" w:cs="Arial"/>
        </w:rPr>
        <w:t xml:space="preserve"> </w:t>
      </w:r>
      <w:r w:rsidRPr="00673207">
        <w:rPr>
          <w:rFonts w:ascii="Arial" w:eastAsia="Arial" w:hAnsi="Arial" w:cs="Arial"/>
        </w:rPr>
        <w:t>The Trustees may also review the management practices appropriate for a group benefits plan.</w:t>
      </w:r>
      <w:r w:rsidR="001709CA">
        <w:rPr>
          <w:rFonts w:ascii="Arial" w:eastAsia="Arial" w:hAnsi="Arial" w:cs="Arial"/>
        </w:rPr>
        <w:t xml:space="preserve"> </w:t>
      </w:r>
      <w:r w:rsidRPr="00673207">
        <w:rPr>
          <w:rFonts w:ascii="Arial" w:eastAsia="Arial" w:hAnsi="Arial" w:cs="Arial"/>
        </w:rPr>
        <w:t>The Trustees shall determine the frequency of these reviews based on emerging experience of the Trust.</w:t>
      </w:r>
    </w:p>
    <w:p w14:paraId="53531F58" w14:textId="77777777" w:rsidR="00AD2628" w:rsidRPr="00AD2628" w:rsidRDefault="001466D1" w:rsidP="00487763">
      <w:pPr>
        <w:numPr>
          <w:ilvl w:val="0"/>
          <w:numId w:val="4"/>
        </w:numPr>
        <w:tabs>
          <w:tab w:val="left" w:pos="1800"/>
        </w:tabs>
        <w:spacing w:before="120" w:line="264" w:lineRule="auto"/>
        <w:ind w:left="1699" w:hanging="432"/>
        <w:rPr>
          <w:rFonts w:ascii="Arial" w:eastAsia="Arial" w:hAnsi="Arial" w:cs="Arial"/>
        </w:rPr>
      </w:pPr>
      <w:r w:rsidRPr="00673207">
        <w:rPr>
          <w:rFonts w:ascii="Arial" w:eastAsia="Arial" w:hAnsi="Arial" w:cs="Arial"/>
          <w:b/>
        </w:rPr>
        <w:t>Benefit</w:t>
      </w:r>
      <w:r w:rsidR="005E2697" w:rsidRPr="00673207">
        <w:rPr>
          <w:rFonts w:ascii="Arial" w:eastAsia="Arial" w:hAnsi="Arial" w:cs="Arial"/>
          <w:b/>
        </w:rPr>
        <w:t>/claims</w:t>
      </w:r>
      <w:r w:rsidRPr="00673207">
        <w:rPr>
          <w:rFonts w:ascii="Arial" w:eastAsia="Arial" w:hAnsi="Arial" w:cs="Arial"/>
          <w:b/>
        </w:rPr>
        <w:t xml:space="preserve"> audits:</w:t>
      </w:r>
      <w:r w:rsidR="00AD2628" w:rsidRPr="00AD2628">
        <w:rPr>
          <w:rFonts w:ascii="Arial" w:eastAsia="Arial" w:hAnsi="Arial" w:cs="Arial"/>
        </w:rPr>
        <w:t xml:space="preserve"> </w:t>
      </w:r>
      <w:r w:rsidRPr="00AD2628">
        <w:rPr>
          <w:rFonts w:ascii="Arial" w:eastAsia="Arial" w:hAnsi="Arial" w:cs="Arial"/>
        </w:rPr>
        <w:t xml:space="preserve"> Periodically on the advice of the consultant and/or insurer, the Trustees will audit the claims submitted by a member or a provider</w:t>
      </w:r>
      <w:r w:rsidR="005E2697" w:rsidRPr="00AD2628">
        <w:rPr>
          <w:rFonts w:ascii="Arial" w:eastAsia="Arial" w:hAnsi="Arial" w:cs="Arial"/>
        </w:rPr>
        <w:t xml:space="preserve"> to ensure alignment with the plan terms and insurance policy</w:t>
      </w:r>
      <w:r w:rsidRPr="00AD2628">
        <w:rPr>
          <w:rFonts w:ascii="Arial" w:eastAsia="Arial" w:hAnsi="Arial" w:cs="Arial"/>
        </w:rPr>
        <w:t>.</w:t>
      </w:r>
    </w:p>
    <w:p w14:paraId="36E6507B" w14:textId="1E63CB0C" w:rsidR="00AD2628" w:rsidRPr="00AD2628" w:rsidRDefault="001466D1" w:rsidP="00487763">
      <w:pPr>
        <w:numPr>
          <w:ilvl w:val="0"/>
          <w:numId w:val="4"/>
        </w:numPr>
        <w:tabs>
          <w:tab w:val="left" w:pos="1800"/>
        </w:tabs>
        <w:spacing w:before="120" w:line="264" w:lineRule="auto"/>
        <w:ind w:left="1699" w:hanging="432"/>
        <w:rPr>
          <w:rFonts w:ascii="Arial" w:eastAsia="Arial" w:hAnsi="Arial" w:cs="Arial"/>
        </w:rPr>
      </w:pPr>
      <w:r w:rsidRPr="00673207">
        <w:rPr>
          <w:rFonts w:ascii="Arial" w:eastAsia="Arial" w:hAnsi="Arial" w:cs="Arial"/>
          <w:b/>
        </w:rPr>
        <w:t>Projection Studies:</w:t>
      </w:r>
      <w:r w:rsidR="00AD2628">
        <w:rPr>
          <w:rFonts w:ascii="Arial" w:eastAsia="Arial" w:hAnsi="Arial" w:cs="Arial"/>
        </w:rPr>
        <w:t xml:space="preserve">  </w:t>
      </w:r>
      <w:r w:rsidR="00086642">
        <w:rPr>
          <w:rFonts w:ascii="Arial" w:eastAsia="Arial" w:hAnsi="Arial" w:cs="Arial"/>
        </w:rPr>
        <w:t>The</w:t>
      </w:r>
      <w:r w:rsidRPr="00AD2628">
        <w:rPr>
          <w:rFonts w:ascii="Arial" w:eastAsia="Arial" w:hAnsi="Arial" w:cs="Arial"/>
        </w:rPr>
        <w:t xml:space="preserve"> Trustees will conduct </w:t>
      </w:r>
      <w:r w:rsidR="007756E7">
        <w:rPr>
          <w:rFonts w:ascii="Arial" w:eastAsia="Arial" w:hAnsi="Arial" w:cs="Arial"/>
        </w:rPr>
        <w:t>an</w:t>
      </w:r>
      <w:r w:rsidR="00086642">
        <w:rPr>
          <w:rFonts w:ascii="Arial" w:eastAsia="Arial" w:hAnsi="Arial" w:cs="Arial"/>
        </w:rPr>
        <w:t>nual</w:t>
      </w:r>
      <w:r w:rsidR="007756E7">
        <w:rPr>
          <w:rFonts w:ascii="Arial" w:eastAsia="Arial" w:hAnsi="Arial" w:cs="Arial"/>
        </w:rPr>
        <w:t xml:space="preserve"> </w:t>
      </w:r>
      <w:r w:rsidRPr="00AD2628">
        <w:rPr>
          <w:rFonts w:ascii="Arial" w:eastAsia="Arial" w:hAnsi="Arial" w:cs="Arial"/>
        </w:rPr>
        <w:t xml:space="preserve">actuarial </w:t>
      </w:r>
      <w:r w:rsidR="00086642">
        <w:rPr>
          <w:rFonts w:ascii="Arial" w:eastAsia="Arial" w:hAnsi="Arial" w:cs="Arial"/>
        </w:rPr>
        <w:t>valuations of the plan in accordance with s.6.1.</w:t>
      </w:r>
    </w:p>
    <w:p w14:paraId="3CAA4C89" w14:textId="77777777" w:rsidR="00AD2628" w:rsidRDefault="001466D1" w:rsidP="00487763">
      <w:pPr>
        <w:numPr>
          <w:ilvl w:val="0"/>
          <w:numId w:val="4"/>
        </w:numPr>
        <w:tabs>
          <w:tab w:val="left" w:pos="1800"/>
        </w:tabs>
        <w:spacing w:before="120" w:line="264" w:lineRule="auto"/>
        <w:ind w:left="1699" w:hanging="432"/>
        <w:rPr>
          <w:rFonts w:ascii="Arial" w:eastAsia="Arial" w:hAnsi="Arial" w:cs="Arial"/>
        </w:rPr>
      </w:pPr>
      <w:r w:rsidRPr="00673207">
        <w:rPr>
          <w:rFonts w:ascii="Arial" w:eastAsia="Arial" w:hAnsi="Arial" w:cs="Arial"/>
          <w:b/>
        </w:rPr>
        <w:t>Statement of Investment Policies and Procedures</w:t>
      </w:r>
      <w:r w:rsidRPr="00673207">
        <w:rPr>
          <w:rFonts w:ascii="Arial" w:eastAsia="Arial" w:hAnsi="Arial" w:cs="Arial"/>
        </w:rPr>
        <w:t xml:space="preserve"> (the “Investment Policy”): </w:t>
      </w:r>
      <w:r w:rsidR="00AD2628">
        <w:rPr>
          <w:rFonts w:ascii="Arial" w:eastAsia="Arial" w:hAnsi="Arial" w:cs="Arial"/>
        </w:rPr>
        <w:t xml:space="preserve"> </w:t>
      </w:r>
      <w:r w:rsidRPr="00673207">
        <w:rPr>
          <w:rFonts w:ascii="Arial" w:eastAsia="Arial" w:hAnsi="Arial" w:cs="Arial"/>
        </w:rPr>
        <w:t>The Investment Policy reflects estimated cash flows (claims, expenses and revenues) and the current fund assets. The Investment Policy is monitored and approved or amended by the Trustees at least annually.</w:t>
      </w:r>
    </w:p>
    <w:p w14:paraId="6C46F30B" w14:textId="45C33A60" w:rsidR="004E655C" w:rsidRPr="00673207" w:rsidRDefault="004E655C" w:rsidP="00487763">
      <w:pPr>
        <w:numPr>
          <w:ilvl w:val="0"/>
          <w:numId w:val="4"/>
        </w:numPr>
        <w:tabs>
          <w:tab w:val="left" w:pos="1800"/>
        </w:tabs>
        <w:spacing w:before="120" w:line="264" w:lineRule="auto"/>
        <w:ind w:left="1699" w:hanging="432"/>
        <w:rPr>
          <w:rFonts w:ascii="Arial" w:eastAsia="Arial" w:hAnsi="Arial" w:cs="Arial"/>
        </w:rPr>
      </w:pPr>
      <w:r w:rsidRPr="00673207">
        <w:rPr>
          <w:rFonts w:ascii="Arial" w:eastAsia="Arial" w:hAnsi="Arial" w:cs="Arial"/>
          <w:b/>
        </w:rPr>
        <w:t xml:space="preserve">Monitoring of the </w:t>
      </w:r>
      <w:r w:rsidR="00BF204D">
        <w:rPr>
          <w:rFonts w:ascii="Arial" w:eastAsia="Arial" w:hAnsi="Arial" w:cs="Arial"/>
          <w:b/>
        </w:rPr>
        <w:t>P</w:t>
      </w:r>
      <w:r w:rsidRPr="00673207">
        <w:rPr>
          <w:rFonts w:ascii="Arial" w:eastAsia="Arial" w:hAnsi="Arial" w:cs="Arial"/>
          <w:b/>
        </w:rPr>
        <w:t>lan</w:t>
      </w:r>
      <w:r w:rsidR="00BF204D">
        <w:rPr>
          <w:rFonts w:ascii="Arial" w:eastAsia="Arial" w:hAnsi="Arial" w:cs="Arial"/>
          <w:b/>
        </w:rPr>
        <w:t>s</w:t>
      </w:r>
      <w:r w:rsidR="005B7AF9" w:rsidRPr="00673207">
        <w:rPr>
          <w:rFonts w:ascii="Arial" w:eastAsia="Arial" w:hAnsi="Arial" w:cs="Arial"/>
          <w:b/>
        </w:rPr>
        <w:t>:</w:t>
      </w:r>
      <w:r w:rsidR="005B7AF9" w:rsidRPr="00673207">
        <w:rPr>
          <w:rFonts w:ascii="Arial" w:eastAsia="Arial" w:hAnsi="Arial" w:cs="Arial"/>
        </w:rPr>
        <w:t xml:space="preserve">  </w:t>
      </w:r>
      <w:r w:rsidR="008E1192">
        <w:rPr>
          <w:rFonts w:ascii="Arial" w:eastAsia="Arial" w:hAnsi="Arial" w:cs="Arial"/>
        </w:rPr>
        <w:t>T</w:t>
      </w:r>
      <w:r w:rsidR="005B7AF9" w:rsidRPr="00673207">
        <w:rPr>
          <w:rFonts w:ascii="Arial" w:eastAsia="Arial" w:hAnsi="Arial" w:cs="Arial"/>
        </w:rPr>
        <w:t xml:space="preserve">he Trustees may perform additional monitoring of the financial position of the </w:t>
      </w:r>
      <w:r w:rsidR="00BF204D">
        <w:rPr>
          <w:rFonts w:ascii="Arial" w:eastAsia="Arial" w:hAnsi="Arial" w:cs="Arial"/>
        </w:rPr>
        <w:t>P</w:t>
      </w:r>
      <w:r w:rsidR="005B7AF9" w:rsidRPr="00673207">
        <w:rPr>
          <w:rFonts w:ascii="Arial" w:eastAsia="Arial" w:hAnsi="Arial" w:cs="Arial"/>
        </w:rPr>
        <w:t>lan</w:t>
      </w:r>
      <w:r w:rsidR="00BF204D">
        <w:rPr>
          <w:rFonts w:ascii="Arial" w:eastAsia="Arial" w:hAnsi="Arial" w:cs="Arial"/>
        </w:rPr>
        <w:t>s</w:t>
      </w:r>
      <w:r w:rsidR="005B7AF9" w:rsidRPr="00673207">
        <w:rPr>
          <w:rFonts w:ascii="Arial" w:eastAsia="Arial" w:hAnsi="Arial" w:cs="Arial"/>
        </w:rPr>
        <w:t>.</w:t>
      </w:r>
    </w:p>
    <w:p w14:paraId="78E6CD93" w14:textId="77777777" w:rsidR="00374FB4" w:rsidRDefault="00374FB4" w:rsidP="00487763">
      <w:pPr>
        <w:spacing w:line="264" w:lineRule="auto"/>
        <w:rPr>
          <w:rFonts w:ascii="Arial" w:eastAsia="Arial" w:hAnsi="Arial" w:cs="Arial"/>
          <w:b/>
        </w:rPr>
      </w:pPr>
      <w:r>
        <w:rPr>
          <w:rFonts w:ascii="Arial" w:eastAsia="Arial" w:hAnsi="Arial" w:cs="Arial"/>
          <w:b/>
        </w:rPr>
        <w:br w:type="page"/>
      </w:r>
    </w:p>
    <w:p w14:paraId="496985D9" w14:textId="77777777" w:rsidR="00CC4BA6" w:rsidRDefault="001466D1" w:rsidP="00487763">
      <w:pPr>
        <w:pStyle w:val="Heading1"/>
        <w:numPr>
          <w:ilvl w:val="0"/>
          <w:numId w:val="7"/>
        </w:numPr>
        <w:spacing w:before="0" w:line="264" w:lineRule="auto"/>
        <w:ind w:left="540" w:hanging="540"/>
        <w:rPr>
          <w:color w:val="000000"/>
        </w:rPr>
      </w:pPr>
      <w:bookmarkStart w:id="6" w:name="_Toc520275063"/>
      <w:r>
        <w:rPr>
          <w:color w:val="000000"/>
        </w:rPr>
        <w:lastRenderedPageBreak/>
        <w:t>Actuarial Valuations</w:t>
      </w:r>
      <w:bookmarkEnd w:id="6"/>
    </w:p>
    <w:p w14:paraId="7040C300" w14:textId="77777777" w:rsidR="00AD2628" w:rsidRPr="00AD2628" w:rsidRDefault="00AD2628" w:rsidP="00487763">
      <w:pPr>
        <w:spacing w:line="264" w:lineRule="auto"/>
      </w:pPr>
    </w:p>
    <w:p w14:paraId="7F85C9C9" w14:textId="77777777" w:rsidR="00CC4BA6" w:rsidRDefault="001466D1" w:rsidP="00487763">
      <w:pPr>
        <w:numPr>
          <w:ilvl w:val="1"/>
          <w:numId w:val="7"/>
        </w:numPr>
        <w:spacing w:line="264" w:lineRule="auto"/>
        <w:ind w:left="1260" w:hanging="720"/>
        <w:rPr>
          <w:rFonts w:ascii="Arial" w:eastAsia="Arial" w:hAnsi="Arial" w:cs="Arial"/>
        </w:rPr>
      </w:pPr>
      <w:r>
        <w:rPr>
          <w:rFonts w:ascii="Arial" w:eastAsia="Arial" w:hAnsi="Arial" w:cs="Arial"/>
        </w:rPr>
        <w:t>The Trustees shall undertake annual actuarial valuations of the Trust.</w:t>
      </w:r>
      <w:r w:rsidR="001709CA">
        <w:rPr>
          <w:rFonts w:ascii="Arial" w:eastAsia="Arial" w:hAnsi="Arial" w:cs="Arial"/>
        </w:rPr>
        <w:t xml:space="preserve"> </w:t>
      </w:r>
      <w:r>
        <w:rPr>
          <w:rFonts w:ascii="Arial" w:eastAsia="Arial" w:hAnsi="Arial" w:cs="Arial"/>
        </w:rPr>
        <w:t>The annual actuarial valuation will incorporate projections of the adequacy of contributions including assessments of claims, expenses and revenues for at least three years.</w:t>
      </w:r>
      <w:r w:rsidR="001709CA">
        <w:rPr>
          <w:rFonts w:ascii="Arial" w:eastAsia="Arial" w:hAnsi="Arial" w:cs="Arial"/>
        </w:rPr>
        <w:t xml:space="preserve"> </w:t>
      </w:r>
      <w:r>
        <w:rPr>
          <w:rFonts w:ascii="Arial" w:eastAsia="Arial" w:hAnsi="Arial" w:cs="Arial"/>
        </w:rPr>
        <w:t>The Trustees may periodically, or in conjunction with the annual actuarial valuation, conduct sensitivity analysis assessing key factors affecting the long-term sustainability of the Trust.</w:t>
      </w:r>
    </w:p>
    <w:p w14:paraId="4A9B2EB6" w14:textId="77777777" w:rsidR="00AD2628" w:rsidRDefault="00AD2628" w:rsidP="00487763">
      <w:pPr>
        <w:spacing w:line="264" w:lineRule="auto"/>
        <w:ind w:left="540"/>
        <w:rPr>
          <w:rFonts w:ascii="Arial" w:eastAsia="Arial" w:hAnsi="Arial" w:cs="Arial"/>
        </w:rPr>
      </w:pPr>
    </w:p>
    <w:p w14:paraId="3E5BDE59" w14:textId="77777777" w:rsidR="00CC4BA6" w:rsidRDefault="001466D1" w:rsidP="00487763">
      <w:pPr>
        <w:numPr>
          <w:ilvl w:val="1"/>
          <w:numId w:val="7"/>
        </w:numPr>
        <w:spacing w:line="264" w:lineRule="auto"/>
        <w:ind w:left="1260" w:hanging="720"/>
        <w:rPr>
          <w:rFonts w:ascii="Arial" w:eastAsia="Arial" w:hAnsi="Arial" w:cs="Arial"/>
        </w:rPr>
      </w:pPr>
      <w:r>
        <w:rPr>
          <w:rFonts w:ascii="Arial" w:eastAsia="Arial" w:hAnsi="Arial" w:cs="Arial"/>
        </w:rPr>
        <w:t>For the purposes of the annual actuarial valuation of the Trust:</w:t>
      </w:r>
    </w:p>
    <w:p w14:paraId="656DDB30" w14:textId="77777777" w:rsidR="00CC4BA6" w:rsidRDefault="001466D1" w:rsidP="00487763">
      <w:pPr>
        <w:numPr>
          <w:ilvl w:val="0"/>
          <w:numId w:val="5"/>
        </w:numPr>
        <w:tabs>
          <w:tab w:val="left" w:pos="1800"/>
        </w:tabs>
        <w:spacing w:before="120" w:line="264" w:lineRule="auto"/>
        <w:ind w:left="1699" w:hanging="432"/>
        <w:rPr>
          <w:rFonts w:ascii="Arial" w:eastAsia="Arial" w:hAnsi="Arial" w:cs="Arial"/>
        </w:rPr>
      </w:pPr>
      <w:r>
        <w:rPr>
          <w:rFonts w:ascii="Arial" w:eastAsia="Arial" w:hAnsi="Arial" w:cs="Arial"/>
        </w:rPr>
        <w:t>All key actuarial assumptions will be determined based on best estimate assumptions.</w:t>
      </w:r>
      <w:r w:rsidR="001709CA">
        <w:rPr>
          <w:rFonts w:ascii="Arial" w:eastAsia="Arial" w:hAnsi="Arial" w:cs="Arial"/>
        </w:rPr>
        <w:t xml:space="preserve"> </w:t>
      </w:r>
      <w:r>
        <w:rPr>
          <w:rFonts w:ascii="Arial" w:eastAsia="Arial" w:hAnsi="Arial" w:cs="Arial"/>
        </w:rPr>
        <w:t>Adjustment to such assumptions, to incorporate margins for adverse experience (conservatism), will be reviewed with the aid of any supporting analysis or documentation and included, as directed by the Trustees, in the claims trend assumptions, the claims cost assumptions, investment return assumption</w:t>
      </w:r>
      <w:r w:rsidR="005E00B7">
        <w:rPr>
          <w:rFonts w:ascii="Arial" w:eastAsia="Arial" w:hAnsi="Arial" w:cs="Arial"/>
        </w:rPr>
        <w:t>s</w:t>
      </w:r>
      <w:r>
        <w:rPr>
          <w:rFonts w:ascii="Arial" w:eastAsia="Arial" w:hAnsi="Arial" w:cs="Arial"/>
        </w:rPr>
        <w:t xml:space="preserve"> and any other assumptions relevant to the analysis.</w:t>
      </w:r>
    </w:p>
    <w:p w14:paraId="427EBEFE" w14:textId="77777777" w:rsidR="00CC4BA6" w:rsidRDefault="001466D1" w:rsidP="00487763">
      <w:pPr>
        <w:numPr>
          <w:ilvl w:val="0"/>
          <w:numId w:val="5"/>
        </w:numPr>
        <w:tabs>
          <w:tab w:val="left" w:pos="1800"/>
        </w:tabs>
        <w:spacing w:before="120" w:line="264" w:lineRule="auto"/>
        <w:ind w:left="1699" w:hanging="432"/>
        <w:rPr>
          <w:rFonts w:ascii="Arial" w:eastAsia="Arial" w:hAnsi="Arial" w:cs="Arial"/>
        </w:rPr>
      </w:pPr>
      <w:r>
        <w:rPr>
          <w:rFonts w:ascii="Arial" w:eastAsia="Arial" w:hAnsi="Arial" w:cs="Arial"/>
        </w:rPr>
        <w:t xml:space="preserve">Claims and demographic assumptions will be based on Trust experience, where practical, or on industry standard experience, modified as appropriate. </w:t>
      </w:r>
    </w:p>
    <w:p w14:paraId="1371E819" w14:textId="77777777" w:rsidR="00CC4BA6" w:rsidRDefault="001466D1" w:rsidP="00487763">
      <w:pPr>
        <w:numPr>
          <w:ilvl w:val="0"/>
          <w:numId w:val="5"/>
        </w:numPr>
        <w:tabs>
          <w:tab w:val="left" w:pos="1800"/>
        </w:tabs>
        <w:spacing w:before="120" w:line="264" w:lineRule="auto"/>
        <w:ind w:left="1699" w:hanging="432"/>
        <w:rPr>
          <w:rFonts w:ascii="Arial" w:eastAsia="Arial" w:hAnsi="Arial" w:cs="Arial"/>
        </w:rPr>
      </w:pPr>
      <w:r>
        <w:rPr>
          <w:rFonts w:ascii="Arial" w:eastAsia="Arial" w:hAnsi="Arial" w:cs="Arial"/>
        </w:rPr>
        <w:t>Assumptions for administrative and investment related expenses, shall be based upon the advice of the Trustees.</w:t>
      </w:r>
    </w:p>
    <w:p w14:paraId="13E1C80C" w14:textId="748E4875" w:rsidR="00041BF2" w:rsidRDefault="00041BF2" w:rsidP="00487763">
      <w:pPr>
        <w:numPr>
          <w:ilvl w:val="0"/>
          <w:numId w:val="5"/>
        </w:numPr>
        <w:tabs>
          <w:tab w:val="left" w:pos="1800"/>
        </w:tabs>
        <w:spacing w:before="120" w:line="264" w:lineRule="auto"/>
        <w:ind w:left="1699" w:hanging="432"/>
        <w:rPr>
          <w:rFonts w:ascii="Arial" w:eastAsia="Arial" w:hAnsi="Arial" w:cs="Arial"/>
        </w:rPr>
      </w:pPr>
      <w:r>
        <w:rPr>
          <w:rFonts w:ascii="Arial" w:eastAsia="Arial" w:hAnsi="Arial" w:cs="Arial"/>
        </w:rPr>
        <w:t xml:space="preserve">Assumptions for employer contributions beyond the </w:t>
      </w:r>
      <w:r w:rsidR="008E1192" w:rsidRPr="00A9092A">
        <w:rPr>
          <w:rFonts w:ascii="Arial" w:eastAsia="Arial" w:hAnsi="Arial" w:cs="Arial"/>
        </w:rPr>
        <w:t>expiry</w:t>
      </w:r>
      <w:r w:rsidRPr="00A9092A">
        <w:rPr>
          <w:rFonts w:ascii="Arial" w:eastAsia="Arial" w:hAnsi="Arial" w:cs="Arial"/>
        </w:rPr>
        <w:t xml:space="preserve"> </w:t>
      </w:r>
      <w:r>
        <w:rPr>
          <w:rFonts w:ascii="Arial" w:eastAsia="Arial" w:hAnsi="Arial" w:cs="Arial"/>
        </w:rPr>
        <w:t>of a current central collective agreement shall reflect a range of possible outcomes that are based upon the advice of the Trustees.</w:t>
      </w:r>
    </w:p>
    <w:p w14:paraId="57C43A57" w14:textId="234FC0B2" w:rsidR="00CC4BA6" w:rsidRDefault="001466D1" w:rsidP="00487763">
      <w:pPr>
        <w:numPr>
          <w:ilvl w:val="0"/>
          <w:numId w:val="5"/>
        </w:numPr>
        <w:tabs>
          <w:tab w:val="left" w:pos="1800"/>
        </w:tabs>
        <w:spacing w:before="120" w:line="264" w:lineRule="auto"/>
        <w:ind w:left="1699" w:hanging="432"/>
        <w:rPr>
          <w:rFonts w:ascii="Arial" w:eastAsia="Arial" w:hAnsi="Arial" w:cs="Arial"/>
        </w:rPr>
      </w:pPr>
      <w:r>
        <w:rPr>
          <w:rFonts w:ascii="Arial" w:eastAsia="Arial" w:hAnsi="Arial" w:cs="Arial"/>
        </w:rPr>
        <w:t xml:space="preserve">The actuarial valuation will be subject to the </w:t>
      </w:r>
      <w:r w:rsidR="008E1192" w:rsidRPr="00A9092A">
        <w:rPr>
          <w:rFonts w:ascii="Arial" w:eastAsia="Arial" w:hAnsi="Arial" w:cs="Arial"/>
        </w:rPr>
        <w:t>applicable</w:t>
      </w:r>
      <w:r w:rsidR="008E1192" w:rsidRPr="008E1192">
        <w:rPr>
          <w:rFonts w:ascii="Arial" w:eastAsia="Arial" w:hAnsi="Arial" w:cs="Arial"/>
          <w:b/>
          <w:i/>
        </w:rPr>
        <w:t xml:space="preserve"> </w:t>
      </w:r>
      <w:r>
        <w:rPr>
          <w:rFonts w:ascii="Arial" w:eastAsia="Arial" w:hAnsi="Arial" w:cs="Arial"/>
        </w:rPr>
        <w:t>standards of practice of the Canadian Institute of Actuaries.</w:t>
      </w:r>
    </w:p>
    <w:p w14:paraId="1DFF0E79" w14:textId="77777777" w:rsidR="00AD2628" w:rsidRDefault="00AD2628" w:rsidP="00487763">
      <w:pPr>
        <w:spacing w:line="264" w:lineRule="auto"/>
        <w:ind w:left="1094"/>
        <w:rPr>
          <w:rFonts w:ascii="Arial" w:eastAsia="Arial" w:hAnsi="Arial" w:cs="Arial"/>
        </w:rPr>
      </w:pPr>
    </w:p>
    <w:p w14:paraId="5CDAFCE4" w14:textId="77777777" w:rsidR="00374FB4" w:rsidRPr="00374FB4" w:rsidRDefault="00374FB4" w:rsidP="00487763">
      <w:pPr>
        <w:numPr>
          <w:ilvl w:val="1"/>
          <w:numId w:val="7"/>
        </w:numPr>
        <w:spacing w:line="264" w:lineRule="auto"/>
        <w:ind w:left="1260" w:hanging="720"/>
        <w:rPr>
          <w:rFonts w:ascii="Arial" w:eastAsia="Arial" w:hAnsi="Arial" w:cs="Arial"/>
        </w:rPr>
      </w:pPr>
      <w:r>
        <w:rPr>
          <w:rFonts w:ascii="Arial" w:eastAsia="Arial" w:hAnsi="Arial" w:cs="Arial"/>
        </w:rPr>
        <w:t xml:space="preserve">The actuarial basis </w:t>
      </w:r>
      <w:r w:rsidR="00810B65">
        <w:rPr>
          <w:rFonts w:ascii="Arial" w:eastAsia="Arial" w:hAnsi="Arial" w:cs="Arial"/>
        </w:rPr>
        <w:t xml:space="preserve">or methods </w:t>
      </w:r>
      <w:r>
        <w:rPr>
          <w:rFonts w:ascii="Arial" w:eastAsia="Arial" w:hAnsi="Arial" w:cs="Arial"/>
        </w:rPr>
        <w:t xml:space="preserve">will be developed in conjunction with the preparation </w:t>
      </w:r>
      <w:r w:rsidR="00A30FB1">
        <w:rPr>
          <w:rFonts w:ascii="Arial" w:eastAsia="Arial" w:hAnsi="Arial" w:cs="Arial"/>
        </w:rPr>
        <w:t xml:space="preserve">of the actuarial valuation </w:t>
      </w:r>
      <w:r>
        <w:rPr>
          <w:rFonts w:ascii="Arial" w:eastAsia="Arial" w:hAnsi="Arial" w:cs="Arial"/>
        </w:rPr>
        <w:t>as required in section 6.1</w:t>
      </w:r>
      <w:r w:rsidRPr="00374FB4">
        <w:rPr>
          <w:rFonts w:ascii="Arial" w:eastAsia="Arial" w:hAnsi="Arial" w:cs="Arial"/>
        </w:rPr>
        <w:t>.</w:t>
      </w:r>
    </w:p>
    <w:p w14:paraId="582494DD" w14:textId="77777777" w:rsidR="00CC4BA6" w:rsidRDefault="00CC4BA6" w:rsidP="00487763">
      <w:pPr>
        <w:spacing w:line="264" w:lineRule="auto"/>
      </w:pPr>
    </w:p>
    <w:p w14:paraId="0E6FBA8E" w14:textId="77777777" w:rsidR="00374FB4" w:rsidRDefault="00374FB4" w:rsidP="00487763">
      <w:pPr>
        <w:spacing w:line="264" w:lineRule="auto"/>
        <w:rPr>
          <w:rFonts w:ascii="Arial" w:eastAsia="Arial" w:hAnsi="Arial" w:cs="Arial"/>
        </w:rPr>
      </w:pPr>
      <w:r>
        <w:rPr>
          <w:rFonts w:ascii="Arial" w:eastAsia="Arial" w:hAnsi="Arial" w:cs="Arial"/>
        </w:rPr>
        <w:br w:type="page"/>
      </w:r>
    </w:p>
    <w:p w14:paraId="6F548C03" w14:textId="77777777" w:rsidR="00CC4BA6" w:rsidRPr="00AD2628" w:rsidRDefault="001466D1" w:rsidP="00487763">
      <w:pPr>
        <w:pStyle w:val="Heading1"/>
        <w:numPr>
          <w:ilvl w:val="0"/>
          <w:numId w:val="7"/>
        </w:numPr>
        <w:spacing w:before="0" w:line="264" w:lineRule="auto"/>
        <w:ind w:left="540" w:hanging="540"/>
        <w:rPr>
          <w:color w:val="000000"/>
          <w:sz w:val="22"/>
        </w:rPr>
      </w:pPr>
      <w:bookmarkStart w:id="7" w:name="_Toc520275064"/>
      <w:r>
        <w:rPr>
          <w:color w:val="000000"/>
        </w:rPr>
        <w:lastRenderedPageBreak/>
        <w:t>Benefit Adjustments</w:t>
      </w:r>
      <w:bookmarkEnd w:id="7"/>
      <w:r>
        <w:rPr>
          <w:color w:val="000000"/>
        </w:rPr>
        <w:t xml:space="preserve"> </w:t>
      </w:r>
    </w:p>
    <w:p w14:paraId="198C324C" w14:textId="77777777" w:rsidR="00AD2628" w:rsidRDefault="00AD2628" w:rsidP="00487763">
      <w:pPr>
        <w:spacing w:line="264" w:lineRule="auto"/>
        <w:ind w:left="549"/>
        <w:rPr>
          <w:rFonts w:ascii="Arial" w:eastAsia="Arial" w:hAnsi="Arial" w:cs="Arial"/>
        </w:rPr>
      </w:pPr>
    </w:p>
    <w:p w14:paraId="327253F8" w14:textId="5D9160D1" w:rsidR="00CC4BA6" w:rsidRDefault="001466D1" w:rsidP="00487763">
      <w:pPr>
        <w:numPr>
          <w:ilvl w:val="1"/>
          <w:numId w:val="7"/>
        </w:numPr>
        <w:spacing w:line="264" w:lineRule="auto"/>
        <w:ind w:left="1260" w:hanging="711"/>
        <w:rPr>
          <w:rFonts w:ascii="Arial" w:eastAsia="Arial" w:hAnsi="Arial" w:cs="Arial"/>
        </w:rPr>
      </w:pPr>
      <w:r>
        <w:rPr>
          <w:rFonts w:ascii="Arial" w:eastAsia="Arial" w:hAnsi="Arial" w:cs="Arial"/>
        </w:rPr>
        <w:t xml:space="preserve">The Trustees may consider changes to the Trust’s benefit </w:t>
      </w:r>
      <w:r w:rsidR="00BF204D">
        <w:rPr>
          <w:rFonts w:ascii="Arial" w:eastAsia="Arial" w:hAnsi="Arial" w:cs="Arial"/>
        </w:rPr>
        <w:t xml:space="preserve">or eligibility </w:t>
      </w:r>
      <w:r>
        <w:rPr>
          <w:rFonts w:ascii="Arial" w:eastAsia="Arial" w:hAnsi="Arial" w:cs="Arial"/>
        </w:rPr>
        <w:t xml:space="preserve">provisions from time to time. </w:t>
      </w:r>
    </w:p>
    <w:p w14:paraId="670C1A12" w14:textId="77777777" w:rsidR="00AD2628" w:rsidRDefault="00AD2628" w:rsidP="00487763">
      <w:pPr>
        <w:spacing w:line="264" w:lineRule="auto"/>
        <w:ind w:left="549"/>
        <w:rPr>
          <w:rFonts w:ascii="Arial" w:eastAsia="Arial" w:hAnsi="Arial" w:cs="Arial"/>
        </w:rPr>
      </w:pPr>
    </w:p>
    <w:p w14:paraId="56512198" w14:textId="77777777" w:rsidR="00CC4BA6" w:rsidRDefault="001466D1" w:rsidP="00487763">
      <w:pPr>
        <w:numPr>
          <w:ilvl w:val="1"/>
          <w:numId w:val="7"/>
        </w:numPr>
        <w:spacing w:line="264" w:lineRule="auto"/>
        <w:ind w:left="1260" w:hanging="711"/>
        <w:rPr>
          <w:rFonts w:ascii="Arial" w:eastAsia="Arial" w:hAnsi="Arial" w:cs="Arial"/>
        </w:rPr>
      </w:pPr>
      <w:r>
        <w:rPr>
          <w:rFonts w:ascii="Arial" w:eastAsia="Arial" w:hAnsi="Arial" w:cs="Arial"/>
        </w:rPr>
        <w:t xml:space="preserve">The Trustees will consider all relevant factors in assessing whether to adjust benefit </w:t>
      </w:r>
      <w:r w:rsidR="00BF204D">
        <w:rPr>
          <w:rFonts w:ascii="Arial" w:eastAsia="Arial" w:hAnsi="Arial" w:cs="Arial"/>
        </w:rPr>
        <w:t xml:space="preserve">or eligibility </w:t>
      </w:r>
      <w:r>
        <w:rPr>
          <w:rFonts w:ascii="Arial" w:eastAsia="Arial" w:hAnsi="Arial" w:cs="Arial"/>
        </w:rPr>
        <w:t>provisions.</w:t>
      </w:r>
      <w:r w:rsidR="001709CA">
        <w:rPr>
          <w:rFonts w:ascii="Arial" w:eastAsia="Arial" w:hAnsi="Arial" w:cs="Arial"/>
        </w:rPr>
        <w:t xml:space="preserve"> </w:t>
      </w:r>
    </w:p>
    <w:p w14:paraId="0182A422" w14:textId="77777777" w:rsidR="00AD2628" w:rsidRDefault="00AD2628" w:rsidP="00487763">
      <w:pPr>
        <w:spacing w:line="264" w:lineRule="auto"/>
        <w:ind w:left="549"/>
        <w:rPr>
          <w:rFonts w:ascii="Arial" w:eastAsia="Arial" w:hAnsi="Arial" w:cs="Arial"/>
        </w:rPr>
      </w:pPr>
    </w:p>
    <w:p w14:paraId="6EB875D1" w14:textId="086DFF09" w:rsidR="00CC4BA6" w:rsidRPr="00A9092A" w:rsidRDefault="001466D1" w:rsidP="00487763">
      <w:pPr>
        <w:numPr>
          <w:ilvl w:val="1"/>
          <w:numId w:val="7"/>
        </w:numPr>
        <w:spacing w:line="264" w:lineRule="auto"/>
        <w:ind w:left="1260" w:hanging="711"/>
        <w:rPr>
          <w:rFonts w:ascii="Arial" w:eastAsia="Arial" w:hAnsi="Arial" w:cs="Arial"/>
        </w:rPr>
      </w:pPr>
      <w:r>
        <w:rPr>
          <w:rFonts w:ascii="Arial" w:eastAsia="Arial" w:hAnsi="Arial" w:cs="Arial"/>
        </w:rPr>
        <w:t xml:space="preserve">If the actuarial report projects the Claims Fluctuation Reserve balance to be less than </w:t>
      </w:r>
      <w:r w:rsidR="00533279">
        <w:rPr>
          <w:rFonts w:ascii="Arial" w:eastAsia="Arial" w:hAnsi="Arial" w:cs="Arial"/>
        </w:rPr>
        <w:t xml:space="preserve">8.3% of Trust claims and expenses or such higher level as may be required under the applicable Central Collective Agreement from time to time. </w:t>
      </w:r>
      <w:proofErr w:type="gramStart"/>
      <w:r w:rsidR="006D2322">
        <w:rPr>
          <w:rFonts w:ascii="Arial" w:eastAsia="Arial" w:hAnsi="Arial" w:cs="Arial"/>
        </w:rPr>
        <w:t>at</w:t>
      </w:r>
      <w:proofErr w:type="gramEnd"/>
      <w:r w:rsidR="006D2322">
        <w:rPr>
          <w:rFonts w:ascii="Arial" w:eastAsia="Arial" w:hAnsi="Arial" w:cs="Arial"/>
        </w:rPr>
        <w:t xml:space="preserve"> the conclusion of </w:t>
      </w:r>
      <w:r>
        <w:rPr>
          <w:rFonts w:ascii="Arial" w:eastAsia="Arial" w:hAnsi="Arial" w:cs="Arial"/>
        </w:rPr>
        <w:t xml:space="preserve">a projected three-year period, then </w:t>
      </w:r>
      <w:r w:rsidR="00BF204D">
        <w:rPr>
          <w:rFonts w:ascii="Arial" w:eastAsia="Arial" w:hAnsi="Arial" w:cs="Arial"/>
        </w:rPr>
        <w:t xml:space="preserve">administrative or </w:t>
      </w:r>
      <w:r>
        <w:rPr>
          <w:rFonts w:ascii="Arial" w:eastAsia="Arial" w:hAnsi="Arial" w:cs="Arial"/>
        </w:rPr>
        <w:t>plan design change</w:t>
      </w:r>
      <w:r w:rsidR="00BF204D">
        <w:rPr>
          <w:rFonts w:ascii="Arial" w:eastAsia="Arial" w:hAnsi="Arial" w:cs="Arial"/>
        </w:rPr>
        <w:t>s</w:t>
      </w:r>
      <w:r>
        <w:rPr>
          <w:rFonts w:ascii="Arial" w:eastAsia="Arial" w:hAnsi="Arial" w:cs="Arial"/>
        </w:rPr>
        <w:t xml:space="preserve"> must be made to address the projected shortfall in the Claims Fluctuation Reserve.</w:t>
      </w:r>
      <w:r w:rsidR="00F924B5">
        <w:rPr>
          <w:rFonts w:ascii="Arial" w:eastAsia="Arial" w:hAnsi="Arial" w:cs="Arial"/>
        </w:rPr>
        <w:t xml:space="preserve"> </w:t>
      </w:r>
      <w:r>
        <w:rPr>
          <w:rFonts w:ascii="Arial" w:eastAsia="Arial" w:hAnsi="Arial" w:cs="Arial"/>
        </w:rPr>
        <w:t xml:space="preserve"> If the motion to adjust the plan design does not pass, the Trust will increase member share premiums to restore the balance above </w:t>
      </w:r>
      <w:r w:rsidR="00533279">
        <w:rPr>
          <w:rFonts w:ascii="Arial" w:eastAsia="Arial" w:hAnsi="Arial" w:cs="Arial"/>
        </w:rPr>
        <w:t xml:space="preserve">8.3% of Trust claims and expenses or such higher level as may be required under the applicable Central Collective Agreement from time to time. </w:t>
      </w:r>
      <w:r w:rsidR="003D6F9F" w:rsidRPr="00A9092A">
        <w:rPr>
          <w:rFonts w:ascii="Arial" w:eastAsia="Arial" w:hAnsi="Arial" w:cs="Arial"/>
        </w:rPr>
        <w:t xml:space="preserve">. </w:t>
      </w:r>
    </w:p>
    <w:p w14:paraId="314E29C4" w14:textId="77777777" w:rsidR="008E1192" w:rsidRDefault="008E1192" w:rsidP="008E1192">
      <w:pPr>
        <w:spacing w:line="264" w:lineRule="auto"/>
        <w:ind w:left="1260"/>
        <w:rPr>
          <w:rFonts w:ascii="Arial" w:eastAsia="Arial" w:hAnsi="Arial" w:cs="Arial"/>
        </w:rPr>
      </w:pPr>
    </w:p>
    <w:p w14:paraId="358CC2FB" w14:textId="19CE8282" w:rsidR="006D2322" w:rsidRDefault="006D2322" w:rsidP="00487763">
      <w:pPr>
        <w:numPr>
          <w:ilvl w:val="1"/>
          <w:numId w:val="7"/>
        </w:numPr>
        <w:spacing w:line="264" w:lineRule="auto"/>
        <w:ind w:left="1260" w:hanging="711"/>
        <w:rPr>
          <w:rFonts w:ascii="Arial" w:eastAsia="Arial" w:hAnsi="Arial" w:cs="Arial"/>
        </w:rPr>
      </w:pPr>
      <w:r>
        <w:rPr>
          <w:rFonts w:ascii="Arial" w:eastAsia="Arial" w:hAnsi="Arial" w:cs="Arial"/>
        </w:rPr>
        <w:t xml:space="preserve">These changes must be made and in effect prior to the end of the three year actuarial valuation that projected the Claims Fluctuation Reserve balance to be less </w:t>
      </w:r>
      <w:r w:rsidR="00533279">
        <w:rPr>
          <w:rFonts w:ascii="Arial" w:eastAsia="Arial" w:hAnsi="Arial" w:cs="Arial"/>
        </w:rPr>
        <w:t xml:space="preserve">than 8.3% of Trust claims and expenses or such higher level as may be required under the applicable Central Collective Agreement from time to time. </w:t>
      </w:r>
      <w:r w:rsidR="0068048A">
        <w:rPr>
          <w:rFonts w:ascii="Arial" w:eastAsia="Arial" w:hAnsi="Arial" w:cs="Arial"/>
        </w:rPr>
        <w:t>.</w:t>
      </w:r>
    </w:p>
    <w:p w14:paraId="7420F690" w14:textId="77777777" w:rsidR="00AD2628" w:rsidRDefault="00AD2628" w:rsidP="00487763">
      <w:pPr>
        <w:spacing w:line="264" w:lineRule="auto"/>
        <w:ind w:left="549"/>
        <w:rPr>
          <w:rFonts w:ascii="Arial" w:eastAsia="Arial" w:hAnsi="Arial" w:cs="Arial"/>
        </w:rPr>
      </w:pPr>
    </w:p>
    <w:p w14:paraId="2F9FFB48" w14:textId="77777777" w:rsidR="00231D97" w:rsidRDefault="00231D97" w:rsidP="00487763">
      <w:pPr>
        <w:numPr>
          <w:ilvl w:val="1"/>
          <w:numId w:val="7"/>
        </w:numPr>
        <w:spacing w:line="264" w:lineRule="auto"/>
        <w:ind w:left="1260" w:hanging="711"/>
        <w:rPr>
          <w:rFonts w:ascii="Arial" w:eastAsia="Arial" w:hAnsi="Arial" w:cs="Arial"/>
        </w:rPr>
      </w:pPr>
      <w:r>
        <w:rPr>
          <w:rFonts w:ascii="Arial" w:eastAsia="Arial" w:hAnsi="Arial" w:cs="Arial"/>
        </w:rPr>
        <w:t xml:space="preserve">In lieu of, or in addition to, changes to benefit provisions, the Trustees’ may consider </w:t>
      </w:r>
      <w:r w:rsidR="00271776">
        <w:rPr>
          <w:rFonts w:ascii="Arial" w:eastAsia="Arial" w:hAnsi="Arial" w:cs="Arial"/>
        </w:rPr>
        <w:t xml:space="preserve">changing the level of </w:t>
      </w:r>
      <w:r>
        <w:rPr>
          <w:rFonts w:ascii="Arial" w:eastAsia="Arial" w:hAnsi="Arial" w:cs="Arial"/>
        </w:rPr>
        <w:t>monthly contributions by plan members.</w:t>
      </w:r>
    </w:p>
    <w:p w14:paraId="2777D47F" w14:textId="77777777" w:rsidR="00CC4BA6" w:rsidRDefault="00CC4BA6" w:rsidP="00487763">
      <w:pPr>
        <w:spacing w:line="264" w:lineRule="auto"/>
        <w:rPr>
          <w:rFonts w:ascii="Arial" w:eastAsia="Arial" w:hAnsi="Arial" w:cs="Arial"/>
        </w:rPr>
      </w:pPr>
    </w:p>
    <w:p w14:paraId="3B1FCFB9" w14:textId="77777777" w:rsidR="00CC4BA6" w:rsidRDefault="001466D1" w:rsidP="00487763">
      <w:pPr>
        <w:spacing w:line="264" w:lineRule="auto"/>
      </w:pPr>
      <w:r>
        <w:br w:type="page"/>
      </w:r>
    </w:p>
    <w:p w14:paraId="4E70BFE7" w14:textId="77777777" w:rsidR="00CC4BA6" w:rsidRPr="00AD2628" w:rsidRDefault="001466D1" w:rsidP="00487763">
      <w:pPr>
        <w:pStyle w:val="Heading1"/>
        <w:numPr>
          <w:ilvl w:val="0"/>
          <w:numId w:val="7"/>
        </w:numPr>
        <w:spacing w:before="0" w:line="264" w:lineRule="auto"/>
        <w:ind w:left="540" w:hanging="540"/>
        <w:rPr>
          <w:color w:val="000000"/>
          <w:sz w:val="22"/>
        </w:rPr>
      </w:pPr>
      <w:bookmarkStart w:id="8" w:name="_Toc520275065"/>
      <w:r>
        <w:rPr>
          <w:color w:val="000000"/>
        </w:rPr>
        <w:lastRenderedPageBreak/>
        <w:t>Funding Targets</w:t>
      </w:r>
      <w:bookmarkEnd w:id="8"/>
    </w:p>
    <w:p w14:paraId="567ED6A3" w14:textId="77777777" w:rsidR="00CC4BA6" w:rsidRDefault="00CC4BA6" w:rsidP="00487763">
      <w:pPr>
        <w:spacing w:line="264" w:lineRule="auto"/>
        <w:rPr>
          <w:rFonts w:ascii="Arial" w:eastAsia="Arial" w:hAnsi="Arial" w:cs="Arial"/>
        </w:rPr>
      </w:pPr>
    </w:p>
    <w:p w14:paraId="5AFCFD43" w14:textId="227183AE" w:rsidR="00CC4BA6" w:rsidRPr="00A9092A" w:rsidRDefault="001466D1" w:rsidP="00487763">
      <w:pPr>
        <w:numPr>
          <w:ilvl w:val="1"/>
          <w:numId w:val="7"/>
        </w:numPr>
        <w:spacing w:line="264" w:lineRule="auto"/>
        <w:ind w:left="1260" w:hanging="693"/>
        <w:contextualSpacing/>
        <w:rPr>
          <w:rFonts w:ascii="Arial" w:eastAsia="Arial" w:hAnsi="Arial" w:cs="Arial"/>
        </w:rPr>
      </w:pPr>
      <w:r w:rsidRPr="006B3FEF">
        <w:rPr>
          <w:rFonts w:ascii="Arial" w:eastAsia="Arial" w:hAnsi="Arial" w:cs="Arial"/>
        </w:rPr>
        <w:t>T</w:t>
      </w:r>
      <w:r w:rsidR="006B3FEF" w:rsidRPr="006B3FEF">
        <w:rPr>
          <w:rFonts w:ascii="Arial" w:eastAsia="Arial" w:hAnsi="Arial" w:cs="Arial"/>
        </w:rPr>
        <w:t xml:space="preserve">he Trustees will consider establishing funding targets once experience has developed under the </w:t>
      </w:r>
      <w:r w:rsidR="001D216C">
        <w:rPr>
          <w:rFonts w:ascii="Arial" w:eastAsia="Arial" w:hAnsi="Arial" w:cs="Arial"/>
        </w:rPr>
        <w:t>P</w:t>
      </w:r>
      <w:r w:rsidR="006B3FEF" w:rsidRPr="006B3FEF">
        <w:rPr>
          <w:rFonts w:ascii="Arial" w:eastAsia="Arial" w:hAnsi="Arial" w:cs="Arial"/>
        </w:rPr>
        <w:t>lan</w:t>
      </w:r>
      <w:r w:rsidR="001D216C">
        <w:rPr>
          <w:rFonts w:ascii="Arial" w:eastAsia="Arial" w:hAnsi="Arial" w:cs="Arial"/>
        </w:rPr>
        <w:t>s</w:t>
      </w:r>
      <w:r w:rsidR="006B3FEF" w:rsidRPr="006B3FEF">
        <w:rPr>
          <w:rFonts w:ascii="Arial" w:eastAsia="Arial" w:hAnsi="Arial" w:cs="Arial"/>
        </w:rPr>
        <w:t>. Funding targets may include</w:t>
      </w:r>
      <w:r w:rsidR="0016254C">
        <w:rPr>
          <w:rFonts w:ascii="Arial" w:eastAsia="Arial" w:hAnsi="Arial" w:cs="Arial"/>
        </w:rPr>
        <w:t xml:space="preserve"> maintaining the Claims </w:t>
      </w:r>
      <w:r w:rsidR="00844AF2">
        <w:rPr>
          <w:rFonts w:ascii="Arial" w:eastAsia="Arial" w:hAnsi="Arial" w:cs="Arial"/>
        </w:rPr>
        <w:t>Fluctuation</w:t>
      </w:r>
      <w:r w:rsidR="0016254C">
        <w:rPr>
          <w:rFonts w:ascii="Arial" w:eastAsia="Arial" w:hAnsi="Arial" w:cs="Arial"/>
        </w:rPr>
        <w:t xml:space="preserve"> Reserve at or above a prescribed percentage (in excess </w:t>
      </w:r>
      <w:r w:rsidR="00533279">
        <w:rPr>
          <w:rFonts w:ascii="Arial" w:eastAsia="Arial" w:hAnsi="Arial" w:cs="Arial"/>
        </w:rPr>
        <w:t xml:space="preserve">8.3% of Trust claims and expenses or such higher level as may be required under the applicable Central Collective Agreement from time to time. </w:t>
      </w:r>
      <w:r w:rsidR="0016254C">
        <w:rPr>
          <w:rFonts w:ascii="Arial" w:eastAsia="Arial" w:hAnsi="Arial" w:cs="Arial"/>
        </w:rPr>
        <w:t>)</w:t>
      </w:r>
      <w:r w:rsidR="0056732B">
        <w:rPr>
          <w:rFonts w:ascii="Arial" w:eastAsia="Arial" w:hAnsi="Arial" w:cs="Arial"/>
        </w:rPr>
        <w:t xml:space="preserve"> of </w:t>
      </w:r>
      <w:r w:rsidR="003D6F9F" w:rsidRPr="00A9092A">
        <w:rPr>
          <w:rFonts w:ascii="Arial" w:eastAsia="Arial" w:hAnsi="Arial" w:cs="Arial"/>
        </w:rPr>
        <w:t>plan expenses.</w:t>
      </w:r>
      <w:r w:rsidR="001709CA" w:rsidRPr="00A9092A">
        <w:rPr>
          <w:rFonts w:ascii="Arial" w:eastAsia="Arial" w:hAnsi="Arial" w:cs="Arial"/>
        </w:rPr>
        <w:t xml:space="preserve"> </w:t>
      </w:r>
    </w:p>
    <w:p w14:paraId="00387DE3" w14:textId="77777777" w:rsidR="00B66C59" w:rsidRDefault="00B66C59" w:rsidP="00487763">
      <w:pPr>
        <w:spacing w:line="264" w:lineRule="auto"/>
        <w:ind w:left="360"/>
        <w:contextualSpacing/>
        <w:rPr>
          <w:rFonts w:ascii="Arial" w:hAnsi="Arial" w:cs="Arial"/>
        </w:rPr>
      </w:pPr>
    </w:p>
    <w:p w14:paraId="12420C90" w14:textId="77777777" w:rsidR="006B3FEF" w:rsidRPr="007E7842" w:rsidRDefault="006B3FEF" w:rsidP="00487763">
      <w:pPr>
        <w:numPr>
          <w:ilvl w:val="1"/>
          <w:numId w:val="7"/>
        </w:numPr>
        <w:spacing w:line="264" w:lineRule="auto"/>
        <w:ind w:left="1260" w:hanging="693"/>
        <w:contextualSpacing/>
        <w:rPr>
          <w:rFonts w:ascii="Arial" w:hAnsi="Arial" w:cs="Arial"/>
        </w:rPr>
      </w:pPr>
      <w:r w:rsidRPr="007E7842">
        <w:rPr>
          <w:rFonts w:ascii="Arial" w:hAnsi="Arial" w:cs="Arial"/>
        </w:rPr>
        <w:t>The Trustees may establish additional reserves for various contingencies and fund them appropriately as they see fit.</w:t>
      </w:r>
    </w:p>
    <w:p w14:paraId="0AE8B267" w14:textId="77777777" w:rsidR="00CC4BA6" w:rsidRDefault="00CC4BA6" w:rsidP="00487763">
      <w:pPr>
        <w:spacing w:line="264" w:lineRule="auto"/>
        <w:ind w:left="1080"/>
        <w:rPr>
          <w:rFonts w:ascii="Arial" w:eastAsia="Arial" w:hAnsi="Arial" w:cs="Arial"/>
        </w:rPr>
      </w:pPr>
    </w:p>
    <w:p w14:paraId="1C10E335" w14:textId="77777777" w:rsidR="00CC4BA6" w:rsidRDefault="00CC4BA6" w:rsidP="00487763">
      <w:pPr>
        <w:spacing w:line="264" w:lineRule="auto"/>
        <w:ind w:left="1080"/>
        <w:rPr>
          <w:rFonts w:ascii="Arial" w:eastAsia="Arial" w:hAnsi="Arial" w:cs="Arial"/>
        </w:rPr>
      </w:pPr>
    </w:p>
    <w:p w14:paraId="4EE9205B" w14:textId="77777777" w:rsidR="00CC4BA6" w:rsidRDefault="001466D1" w:rsidP="00487763">
      <w:pPr>
        <w:spacing w:line="264" w:lineRule="auto"/>
      </w:pPr>
      <w:r>
        <w:br w:type="page"/>
      </w:r>
    </w:p>
    <w:p w14:paraId="608B26A3" w14:textId="77777777" w:rsidR="00CC4BA6" w:rsidRPr="00B66C59" w:rsidRDefault="001466D1" w:rsidP="00487763">
      <w:pPr>
        <w:pStyle w:val="Heading1"/>
        <w:numPr>
          <w:ilvl w:val="0"/>
          <w:numId w:val="7"/>
        </w:numPr>
        <w:spacing w:before="0" w:line="264" w:lineRule="auto"/>
        <w:ind w:left="540" w:hanging="540"/>
        <w:rPr>
          <w:color w:val="000000"/>
          <w:sz w:val="22"/>
        </w:rPr>
      </w:pPr>
      <w:bookmarkStart w:id="9" w:name="_Toc520275066"/>
      <w:r>
        <w:rPr>
          <w:color w:val="000000"/>
        </w:rPr>
        <w:lastRenderedPageBreak/>
        <w:t>Risk Mitigation</w:t>
      </w:r>
      <w:bookmarkEnd w:id="9"/>
    </w:p>
    <w:p w14:paraId="5556246A" w14:textId="77777777" w:rsidR="00B66C59" w:rsidRDefault="00B66C59" w:rsidP="00487763">
      <w:pPr>
        <w:spacing w:line="264" w:lineRule="auto"/>
        <w:ind w:left="603"/>
        <w:contextualSpacing/>
        <w:rPr>
          <w:rFonts w:ascii="Arial" w:eastAsia="Arial" w:hAnsi="Arial" w:cs="Arial"/>
        </w:rPr>
      </w:pPr>
      <w:bookmarkStart w:id="10" w:name="_3rdcrjn" w:colFirst="0" w:colLast="0"/>
      <w:bookmarkEnd w:id="10"/>
    </w:p>
    <w:p w14:paraId="64BFD13E" w14:textId="77777777" w:rsidR="00CC4BA6" w:rsidRDefault="001466D1" w:rsidP="00487763">
      <w:pPr>
        <w:numPr>
          <w:ilvl w:val="1"/>
          <w:numId w:val="7"/>
        </w:numPr>
        <w:spacing w:line="264" w:lineRule="auto"/>
        <w:ind w:left="1260" w:hanging="657"/>
        <w:contextualSpacing/>
        <w:rPr>
          <w:rFonts w:ascii="Arial" w:eastAsia="Arial" w:hAnsi="Arial" w:cs="Arial"/>
        </w:rPr>
      </w:pPr>
      <w:r>
        <w:rPr>
          <w:rFonts w:ascii="Arial" w:eastAsia="Arial" w:hAnsi="Arial" w:cs="Arial"/>
        </w:rPr>
        <w:t>The Trustees may consider implementing appropriate financial risk mitigation techniques such as stop-loss insurance</w:t>
      </w:r>
      <w:r w:rsidR="006B3FEF">
        <w:rPr>
          <w:rFonts w:ascii="Arial" w:eastAsia="Arial" w:hAnsi="Arial" w:cs="Arial"/>
        </w:rPr>
        <w:t xml:space="preserve"> or other financial arrangements</w:t>
      </w:r>
      <w:r>
        <w:rPr>
          <w:rFonts w:ascii="Arial" w:eastAsia="Arial" w:hAnsi="Arial" w:cs="Arial"/>
        </w:rPr>
        <w:t>.</w:t>
      </w:r>
      <w:r w:rsidR="001709CA">
        <w:rPr>
          <w:rFonts w:ascii="Arial" w:eastAsia="Arial" w:hAnsi="Arial" w:cs="Arial"/>
        </w:rPr>
        <w:t xml:space="preserve"> </w:t>
      </w:r>
      <w:r>
        <w:rPr>
          <w:rFonts w:ascii="Arial" w:eastAsia="Arial" w:hAnsi="Arial" w:cs="Arial"/>
        </w:rPr>
        <w:t xml:space="preserve">The cost of such insurance </w:t>
      </w:r>
      <w:r w:rsidR="006B3FEF">
        <w:rPr>
          <w:rFonts w:ascii="Arial" w:eastAsia="Arial" w:hAnsi="Arial" w:cs="Arial"/>
        </w:rPr>
        <w:t xml:space="preserve">or financial arrangements </w:t>
      </w:r>
      <w:r>
        <w:rPr>
          <w:rFonts w:ascii="Arial" w:eastAsia="Arial" w:hAnsi="Arial" w:cs="Arial"/>
        </w:rPr>
        <w:t>will be evaluated against the coverage provided and the ability of the Trust to withstand fluctuations in claiming patterns.</w:t>
      </w:r>
      <w:r>
        <w:rPr>
          <w:rFonts w:ascii="Arial" w:eastAsia="Arial" w:hAnsi="Arial" w:cs="Arial"/>
        </w:rPr>
        <w:br/>
      </w:r>
    </w:p>
    <w:p w14:paraId="2DCB3674" w14:textId="77777777" w:rsidR="00CC4BA6" w:rsidRDefault="001466D1" w:rsidP="00487763">
      <w:pPr>
        <w:numPr>
          <w:ilvl w:val="1"/>
          <w:numId w:val="7"/>
        </w:numPr>
        <w:spacing w:line="264" w:lineRule="auto"/>
        <w:ind w:left="1260" w:hanging="657"/>
        <w:contextualSpacing/>
        <w:rPr>
          <w:rFonts w:ascii="Arial" w:eastAsia="Arial" w:hAnsi="Arial" w:cs="Arial"/>
        </w:rPr>
      </w:pPr>
      <w:r>
        <w:rPr>
          <w:rFonts w:ascii="Arial" w:eastAsia="Arial" w:hAnsi="Arial" w:cs="Arial"/>
        </w:rPr>
        <w:t>The Trustees will consider implementing appropriate mechanisms to efficiently provide the Trust’s benefits.</w:t>
      </w:r>
      <w:r w:rsidR="001709CA">
        <w:rPr>
          <w:rFonts w:ascii="Arial" w:eastAsia="Arial" w:hAnsi="Arial" w:cs="Arial"/>
        </w:rPr>
        <w:t xml:space="preserve"> </w:t>
      </w:r>
      <w:r>
        <w:rPr>
          <w:rFonts w:ascii="Arial" w:eastAsia="Arial" w:hAnsi="Arial" w:cs="Arial"/>
        </w:rPr>
        <w:t>Such mechanisms may include mandatory generic drugs, drug pre-authorization, fraud prevention techniques and any other approaches that may be available to the Trust.</w:t>
      </w:r>
      <w:r>
        <w:rPr>
          <w:rFonts w:ascii="Arial" w:eastAsia="Arial" w:hAnsi="Arial" w:cs="Arial"/>
        </w:rPr>
        <w:br/>
      </w:r>
    </w:p>
    <w:p w14:paraId="67F4CE70" w14:textId="52C1AE07" w:rsidR="00621217" w:rsidRDefault="001466D1" w:rsidP="00487763">
      <w:pPr>
        <w:numPr>
          <w:ilvl w:val="1"/>
          <w:numId w:val="7"/>
        </w:numPr>
        <w:spacing w:line="264" w:lineRule="auto"/>
        <w:ind w:left="1260" w:hanging="657"/>
        <w:contextualSpacing/>
        <w:rPr>
          <w:rFonts w:ascii="Arial" w:eastAsia="Arial" w:hAnsi="Arial" w:cs="Arial"/>
        </w:rPr>
      </w:pPr>
      <w:r>
        <w:rPr>
          <w:rFonts w:ascii="Arial" w:eastAsia="Arial" w:hAnsi="Arial" w:cs="Arial"/>
        </w:rPr>
        <w:t>The Trustees will conduct periodic actuarial analyses to determine the appropriate level of Claims Fluctuation Reserve and other reserves as may be considered appropriate for the Trust to maintain.</w:t>
      </w:r>
      <w:r w:rsidR="001709CA">
        <w:rPr>
          <w:rFonts w:ascii="Arial" w:eastAsia="Arial" w:hAnsi="Arial" w:cs="Arial"/>
        </w:rPr>
        <w:t xml:space="preserve"> </w:t>
      </w:r>
      <w:r w:rsidR="00621217">
        <w:rPr>
          <w:rFonts w:ascii="Arial" w:eastAsia="Arial" w:hAnsi="Arial" w:cs="Arial"/>
        </w:rPr>
        <w:t>Other reserves may be a</w:t>
      </w:r>
      <w:r w:rsidR="0068270B">
        <w:rPr>
          <w:rFonts w:ascii="Arial" w:eastAsia="Arial" w:hAnsi="Arial" w:cs="Arial"/>
        </w:rPr>
        <w:t>n I</w:t>
      </w:r>
      <w:r w:rsidR="00F11EA7">
        <w:rPr>
          <w:rFonts w:ascii="Arial" w:eastAsia="Arial" w:hAnsi="Arial" w:cs="Arial"/>
        </w:rPr>
        <w:t>n</w:t>
      </w:r>
      <w:r w:rsidR="0068270B">
        <w:rPr>
          <w:rFonts w:ascii="Arial" w:eastAsia="Arial" w:hAnsi="Arial" w:cs="Arial"/>
        </w:rPr>
        <w:t>curred-But-Not-Reported</w:t>
      </w:r>
      <w:r w:rsidR="00621217">
        <w:rPr>
          <w:rFonts w:ascii="Arial" w:eastAsia="Arial" w:hAnsi="Arial" w:cs="Arial"/>
        </w:rPr>
        <w:t xml:space="preserve"> </w:t>
      </w:r>
      <w:r w:rsidR="0068270B">
        <w:rPr>
          <w:rFonts w:ascii="Arial" w:eastAsia="Arial" w:hAnsi="Arial" w:cs="Arial"/>
        </w:rPr>
        <w:t xml:space="preserve">claims </w:t>
      </w:r>
      <w:r w:rsidR="00621217">
        <w:rPr>
          <w:rFonts w:ascii="Arial" w:eastAsia="Arial" w:hAnsi="Arial" w:cs="Arial"/>
        </w:rPr>
        <w:t>reserve,</w:t>
      </w:r>
      <w:r w:rsidR="00844AF2">
        <w:rPr>
          <w:rFonts w:ascii="Arial" w:eastAsia="Arial" w:hAnsi="Arial" w:cs="Arial"/>
        </w:rPr>
        <w:t xml:space="preserve"> </w:t>
      </w:r>
      <w:r w:rsidR="0068270B">
        <w:rPr>
          <w:rFonts w:ascii="Arial" w:eastAsia="Arial" w:hAnsi="Arial" w:cs="Arial"/>
        </w:rPr>
        <w:t xml:space="preserve">a </w:t>
      </w:r>
      <w:r w:rsidR="00621217">
        <w:rPr>
          <w:rFonts w:ascii="Arial" w:eastAsia="Arial" w:hAnsi="Arial" w:cs="Arial"/>
        </w:rPr>
        <w:t>member cost sharing reserve, a contingency margin or investment return reserve as a few examples.</w:t>
      </w:r>
      <w:r w:rsidR="001709CA">
        <w:rPr>
          <w:rFonts w:ascii="Arial" w:eastAsia="Arial" w:hAnsi="Arial" w:cs="Arial"/>
        </w:rPr>
        <w:t xml:space="preserve"> </w:t>
      </w:r>
      <w:r w:rsidR="00621217">
        <w:rPr>
          <w:rFonts w:ascii="Arial" w:eastAsia="Arial" w:hAnsi="Arial" w:cs="Arial"/>
        </w:rPr>
        <w:br/>
      </w:r>
    </w:p>
    <w:p w14:paraId="6CEB4EC9" w14:textId="25AA93DB" w:rsidR="00CC4BA6" w:rsidRPr="00A9092A" w:rsidRDefault="001466D1" w:rsidP="00A9092A">
      <w:pPr>
        <w:numPr>
          <w:ilvl w:val="1"/>
          <w:numId w:val="7"/>
        </w:numPr>
        <w:tabs>
          <w:tab w:val="left" w:pos="1276"/>
        </w:tabs>
        <w:spacing w:line="264" w:lineRule="auto"/>
        <w:ind w:left="720" w:hanging="153"/>
        <w:contextualSpacing/>
        <w:rPr>
          <w:rFonts w:ascii="Arial" w:eastAsia="Arial" w:hAnsi="Arial" w:cs="Arial"/>
        </w:rPr>
      </w:pPr>
      <w:r w:rsidRPr="003D6F9F">
        <w:rPr>
          <w:rFonts w:ascii="Arial" w:eastAsia="Arial" w:hAnsi="Arial" w:cs="Arial"/>
        </w:rPr>
        <w:t xml:space="preserve">Any surplus that emerges </w:t>
      </w:r>
      <w:r w:rsidR="00621217" w:rsidRPr="003D6F9F">
        <w:rPr>
          <w:rFonts w:ascii="Arial" w:eastAsia="Arial" w:hAnsi="Arial" w:cs="Arial"/>
        </w:rPr>
        <w:t xml:space="preserve">under the plan </w:t>
      </w:r>
      <w:r w:rsidRPr="003D6F9F">
        <w:rPr>
          <w:rFonts w:ascii="Arial" w:eastAsia="Arial" w:hAnsi="Arial" w:cs="Arial"/>
        </w:rPr>
        <w:t xml:space="preserve">will initially be used to increase the Claims </w:t>
      </w:r>
      <w:r w:rsidR="00AB2CD8">
        <w:rPr>
          <w:rFonts w:ascii="Arial" w:eastAsia="Arial" w:hAnsi="Arial" w:cs="Arial"/>
        </w:rPr>
        <w:tab/>
      </w:r>
      <w:r w:rsidRPr="003D6F9F">
        <w:rPr>
          <w:rFonts w:ascii="Arial" w:eastAsia="Arial" w:hAnsi="Arial" w:cs="Arial"/>
        </w:rPr>
        <w:t>Fluctuation Reserve</w:t>
      </w:r>
      <w:r w:rsidR="00533279">
        <w:rPr>
          <w:rFonts w:ascii="Arial" w:eastAsia="Arial" w:hAnsi="Arial" w:cs="Arial"/>
        </w:rPr>
        <w:t xml:space="preserve"> to the original 15% funding level or such higher level as may be </w:t>
      </w:r>
      <w:r w:rsidR="00AA5CBD">
        <w:rPr>
          <w:rFonts w:ascii="Arial" w:eastAsia="Arial" w:hAnsi="Arial" w:cs="Arial"/>
        </w:rPr>
        <w:tab/>
      </w:r>
      <w:r w:rsidR="00533279">
        <w:rPr>
          <w:rFonts w:ascii="Arial" w:eastAsia="Arial" w:hAnsi="Arial" w:cs="Arial"/>
        </w:rPr>
        <w:t>required under the applicable Central Collective Agreement from time to time</w:t>
      </w:r>
      <w:proofErr w:type="gramStart"/>
      <w:r w:rsidR="00533279">
        <w:rPr>
          <w:rFonts w:ascii="Arial" w:eastAsia="Arial" w:hAnsi="Arial" w:cs="Arial"/>
        </w:rPr>
        <w:t xml:space="preserve">. </w:t>
      </w:r>
      <w:r w:rsidR="003D6F9F" w:rsidRPr="003D6F9F">
        <w:rPr>
          <w:rFonts w:ascii="Arial" w:eastAsia="Arial" w:hAnsi="Arial" w:cs="Arial"/>
        </w:rPr>
        <w:t>.</w:t>
      </w:r>
      <w:proofErr w:type="gramEnd"/>
      <w:r w:rsidR="003D6F9F" w:rsidRPr="003D6F9F">
        <w:rPr>
          <w:rFonts w:ascii="Arial" w:eastAsia="Arial" w:hAnsi="Arial" w:cs="Arial"/>
        </w:rPr>
        <w:t xml:space="preserve">  </w:t>
      </w:r>
      <w:r w:rsidR="003D6F9F" w:rsidRPr="00A9092A">
        <w:rPr>
          <w:rFonts w:ascii="Arial" w:eastAsia="Arial" w:hAnsi="Arial" w:cs="Arial"/>
        </w:rPr>
        <w:t xml:space="preserve">The </w:t>
      </w:r>
      <w:r w:rsidR="00AA5CBD">
        <w:rPr>
          <w:rFonts w:ascii="Arial" w:eastAsia="Arial" w:hAnsi="Arial" w:cs="Arial"/>
        </w:rPr>
        <w:tab/>
      </w:r>
      <w:r w:rsidR="003D6F9F" w:rsidRPr="00A9092A">
        <w:rPr>
          <w:rFonts w:ascii="Arial" w:eastAsia="Arial" w:hAnsi="Arial" w:cs="Arial"/>
        </w:rPr>
        <w:t xml:space="preserve">Board may consider annually </w:t>
      </w:r>
      <w:r w:rsidR="00533279">
        <w:rPr>
          <w:rFonts w:ascii="Arial" w:eastAsia="Arial" w:hAnsi="Arial" w:cs="Arial"/>
        </w:rPr>
        <w:t>t</w:t>
      </w:r>
      <w:r w:rsidR="003D6F9F" w:rsidRPr="00A9092A">
        <w:rPr>
          <w:rFonts w:ascii="Arial" w:eastAsia="Arial" w:hAnsi="Arial" w:cs="Arial"/>
        </w:rPr>
        <w:t xml:space="preserve">hereafter, other allocations of these funds, including </w:t>
      </w:r>
      <w:r w:rsidR="00AA5CBD">
        <w:rPr>
          <w:rFonts w:ascii="Arial" w:eastAsia="Arial" w:hAnsi="Arial" w:cs="Arial"/>
        </w:rPr>
        <w:tab/>
      </w:r>
      <w:r w:rsidR="003D6F9F" w:rsidRPr="00A9092A">
        <w:rPr>
          <w:rFonts w:ascii="Arial" w:eastAsia="Arial" w:hAnsi="Arial" w:cs="Arial"/>
        </w:rPr>
        <w:t xml:space="preserve">changes in plan design or premium reduction. </w:t>
      </w:r>
      <w:r w:rsidR="00621217" w:rsidRPr="00A9092A">
        <w:rPr>
          <w:rFonts w:ascii="Arial" w:eastAsia="Arial" w:hAnsi="Arial" w:cs="Arial"/>
        </w:rPr>
        <w:t xml:space="preserve"> </w:t>
      </w:r>
    </w:p>
    <w:p w14:paraId="1A3A5647" w14:textId="77777777" w:rsidR="00CC4BA6" w:rsidRPr="00AB2CD8" w:rsidRDefault="001466D1" w:rsidP="00487763">
      <w:pPr>
        <w:spacing w:line="264" w:lineRule="auto"/>
        <w:rPr>
          <w:b/>
          <w:i/>
        </w:rPr>
      </w:pPr>
      <w:r w:rsidRPr="00AB2CD8">
        <w:rPr>
          <w:b/>
          <w:i/>
        </w:rPr>
        <w:br w:type="page"/>
      </w:r>
    </w:p>
    <w:p w14:paraId="4B0CB2F1" w14:textId="77777777" w:rsidR="00CC4BA6" w:rsidRDefault="001466D1" w:rsidP="00487763">
      <w:pPr>
        <w:pStyle w:val="Heading1"/>
        <w:numPr>
          <w:ilvl w:val="0"/>
          <w:numId w:val="7"/>
        </w:numPr>
        <w:spacing w:before="0" w:line="264" w:lineRule="auto"/>
        <w:ind w:left="540" w:hanging="540"/>
        <w:rPr>
          <w:color w:val="000000"/>
        </w:rPr>
      </w:pPr>
      <w:bookmarkStart w:id="11" w:name="_Toc520275067"/>
      <w:r>
        <w:rPr>
          <w:color w:val="000000"/>
        </w:rPr>
        <w:lastRenderedPageBreak/>
        <w:t>Surpluses and Deficits</w:t>
      </w:r>
      <w:bookmarkEnd w:id="11"/>
    </w:p>
    <w:p w14:paraId="41399687" w14:textId="77777777" w:rsidR="00B66C59" w:rsidRPr="00B66C59" w:rsidRDefault="00B66C59" w:rsidP="00487763">
      <w:pPr>
        <w:spacing w:line="264" w:lineRule="auto"/>
      </w:pPr>
    </w:p>
    <w:p w14:paraId="59507DC0" w14:textId="77777777" w:rsidR="00CC4BA6" w:rsidRDefault="001466D1" w:rsidP="00487763">
      <w:pPr>
        <w:numPr>
          <w:ilvl w:val="1"/>
          <w:numId w:val="7"/>
        </w:numPr>
        <w:spacing w:line="264" w:lineRule="auto"/>
        <w:ind w:left="1260" w:hanging="684"/>
        <w:contextualSpacing/>
        <w:rPr>
          <w:rFonts w:ascii="Arial" w:eastAsia="Arial" w:hAnsi="Arial" w:cs="Arial"/>
        </w:rPr>
      </w:pPr>
      <w:r>
        <w:rPr>
          <w:rFonts w:ascii="Arial" w:eastAsia="Arial" w:hAnsi="Arial" w:cs="Arial"/>
        </w:rPr>
        <w:t xml:space="preserve">Surplus (deficit) is defined to be excess (shortfall) of the actuarial value of assets and contributions of the Trust over the expected </w:t>
      </w:r>
      <w:r w:rsidR="00246504">
        <w:rPr>
          <w:rFonts w:ascii="Arial" w:eastAsia="Arial" w:hAnsi="Arial" w:cs="Arial"/>
        </w:rPr>
        <w:t xml:space="preserve">value of </w:t>
      </w:r>
      <w:r>
        <w:rPr>
          <w:rFonts w:ascii="Arial" w:eastAsia="Arial" w:hAnsi="Arial" w:cs="Arial"/>
        </w:rPr>
        <w:t>claims and expenses determined over a three-year projection period.</w:t>
      </w:r>
    </w:p>
    <w:p w14:paraId="7FF51E3D" w14:textId="77777777" w:rsidR="0039654A" w:rsidRDefault="0039654A" w:rsidP="00487763">
      <w:pPr>
        <w:spacing w:line="264" w:lineRule="auto"/>
        <w:ind w:left="1080" w:hanging="504"/>
        <w:rPr>
          <w:rFonts w:ascii="Arial" w:eastAsia="Arial" w:hAnsi="Arial" w:cs="Arial"/>
        </w:rPr>
      </w:pPr>
    </w:p>
    <w:p w14:paraId="79961526" w14:textId="77777777" w:rsidR="00CC4BA6" w:rsidRDefault="001466D1" w:rsidP="00487763">
      <w:pPr>
        <w:numPr>
          <w:ilvl w:val="1"/>
          <w:numId w:val="7"/>
        </w:numPr>
        <w:spacing w:line="264" w:lineRule="auto"/>
        <w:ind w:left="1260" w:hanging="684"/>
        <w:contextualSpacing/>
        <w:rPr>
          <w:rFonts w:ascii="Arial" w:eastAsia="Arial" w:hAnsi="Arial" w:cs="Arial"/>
        </w:rPr>
      </w:pPr>
      <w:r>
        <w:rPr>
          <w:rFonts w:ascii="Arial" w:eastAsia="Arial" w:hAnsi="Arial" w:cs="Arial"/>
        </w:rPr>
        <w:t>Surpluses developed in the Trust may be used to:</w:t>
      </w:r>
    </w:p>
    <w:p w14:paraId="0DB650EA" w14:textId="77777777" w:rsidR="00CC4BA6" w:rsidRPr="00AB2CD8" w:rsidRDefault="001466D1" w:rsidP="00487763">
      <w:pPr>
        <w:pStyle w:val="ListParagraph"/>
        <w:numPr>
          <w:ilvl w:val="0"/>
          <w:numId w:val="15"/>
        </w:numPr>
        <w:tabs>
          <w:tab w:val="left" w:pos="1800"/>
        </w:tabs>
        <w:spacing w:before="120" w:line="264" w:lineRule="auto"/>
        <w:ind w:left="1627"/>
        <w:contextualSpacing w:val="0"/>
        <w:rPr>
          <w:rFonts w:ascii="Arial" w:eastAsia="Arial" w:hAnsi="Arial" w:cs="Arial"/>
        </w:rPr>
      </w:pPr>
      <w:r w:rsidRPr="00AB2CD8">
        <w:rPr>
          <w:rFonts w:ascii="Arial" w:eastAsia="Arial" w:hAnsi="Arial" w:cs="Arial"/>
        </w:rPr>
        <w:t xml:space="preserve">Fund future claims in conjunction with the fixed funding contained in the </w:t>
      </w:r>
      <w:r w:rsidR="0091439C" w:rsidRPr="00AB2CD8">
        <w:rPr>
          <w:rFonts w:ascii="Arial" w:eastAsia="Arial" w:hAnsi="Arial" w:cs="Arial"/>
        </w:rPr>
        <w:t>OSSTF</w:t>
      </w:r>
      <w:r w:rsidRPr="00AB2CD8">
        <w:rPr>
          <w:rFonts w:ascii="Arial" w:eastAsia="Arial" w:hAnsi="Arial" w:cs="Arial"/>
        </w:rPr>
        <w:t xml:space="preserve"> collective bargaining agreement; </w:t>
      </w:r>
      <w:r w:rsidRPr="00AB2CD8">
        <w:rPr>
          <w:rFonts w:ascii="MS Gothic" w:eastAsia="MS Gothic" w:hAnsi="MS Gothic" w:cs="MS Gothic"/>
        </w:rPr>
        <w:t> </w:t>
      </w:r>
    </w:p>
    <w:p w14:paraId="264AC919" w14:textId="77777777" w:rsidR="00CC4BA6" w:rsidRPr="00AB2CD8" w:rsidRDefault="001466D1" w:rsidP="00487763">
      <w:pPr>
        <w:pStyle w:val="ListParagraph"/>
        <w:numPr>
          <w:ilvl w:val="0"/>
          <w:numId w:val="15"/>
        </w:numPr>
        <w:tabs>
          <w:tab w:val="left" w:pos="940"/>
          <w:tab w:val="left" w:pos="1440"/>
        </w:tabs>
        <w:spacing w:before="120" w:line="264" w:lineRule="auto"/>
        <w:ind w:left="1627"/>
        <w:contextualSpacing w:val="0"/>
        <w:rPr>
          <w:rFonts w:ascii="Arial" w:eastAsia="Arial" w:hAnsi="Arial" w:cs="Arial"/>
        </w:rPr>
      </w:pPr>
      <w:r w:rsidRPr="00AB2CD8">
        <w:rPr>
          <w:rFonts w:ascii="Arial" w:eastAsia="Arial" w:hAnsi="Arial" w:cs="Arial"/>
        </w:rPr>
        <w:t xml:space="preserve">Fund claims stabilization or other reserves; </w:t>
      </w:r>
      <w:r w:rsidRPr="00AB2CD8">
        <w:rPr>
          <w:rFonts w:ascii="MS Gothic" w:eastAsia="MS Gothic" w:hAnsi="MS Gothic" w:cs="MS Gothic"/>
        </w:rPr>
        <w:t> </w:t>
      </w:r>
    </w:p>
    <w:p w14:paraId="1E117E61" w14:textId="77777777" w:rsidR="00CC4BA6" w:rsidRPr="00AB2CD8" w:rsidRDefault="001466D1" w:rsidP="00487763">
      <w:pPr>
        <w:pStyle w:val="ListParagraph"/>
        <w:numPr>
          <w:ilvl w:val="0"/>
          <w:numId w:val="15"/>
        </w:numPr>
        <w:tabs>
          <w:tab w:val="left" w:pos="940"/>
          <w:tab w:val="left" w:pos="1440"/>
        </w:tabs>
        <w:spacing w:before="120" w:line="264" w:lineRule="auto"/>
        <w:ind w:left="1627"/>
        <w:contextualSpacing w:val="0"/>
        <w:rPr>
          <w:rFonts w:ascii="Arial" w:eastAsia="Arial" w:hAnsi="Arial" w:cs="Arial"/>
        </w:rPr>
      </w:pPr>
      <w:r w:rsidRPr="00AB2CD8">
        <w:rPr>
          <w:rFonts w:ascii="Arial" w:eastAsia="Arial" w:hAnsi="Arial" w:cs="Arial"/>
        </w:rPr>
        <w:t xml:space="preserve">Improve plan design; </w:t>
      </w:r>
      <w:r w:rsidRPr="00AB2CD8">
        <w:rPr>
          <w:rFonts w:ascii="MS Gothic" w:eastAsia="MS Gothic" w:hAnsi="MS Gothic" w:cs="MS Gothic"/>
        </w:rPr>
        <w:t> </w:t>
      </w:r>
    </w:p>
    <w:p w14:paraId="202A0EDB" w14:textId="3D82E60B" w:rsidR="00CC4BA6" w:rsidRPr="00AB2CD8" w:rsidRDefault="001466D1" w:rsidP="00487763">
      <w:pPr>
        <w:pStyle w:val="ListParagraph"/>
        <w:numPr>
          <w:ilvl w:val="0"/>
          <w:numId w:val="15"/>
        </w:numPr>
        <w:tabs>
          <w:tab w:val="left" w:pos="940"/>
          <w:tab w:val="left" w:pos="1440"/>
        </w:tabs>
        <w:spacing w:before="120" w:line="264" w:lineRule="auto"/>
        <w:ind w:left="1627"/>
        <w:contextualSpacing w:val="0"/>
        <w:rPr>
          <w:rFonts w:ascii="Arial" w:eastAsia="Arial" w:hAnsi="Arial" w:cs="Arial"/>
        </w:rPr>
      </w:pPr>
      <w:r w:rsidRPr="00AB2CD8">
        <w:rPr>
          <w:rFonts w:ascii="Arial" w:eastAsia="Arial" w:hAnsi="Arial" w:cs="Arial"/>
        </w:rPr>
        <w:t>Expand eligibility as permitted in the trust document;</w:t>
      </w:r>
    </w:p>
    <w:p w14:paraId="0888A335" w14:textId="2199A4CD" w:rsidR="00CC4BA6" w:rsidRDefault="001466D1" w:rsidP="00487763">
      <w:pPr>
        <w:pStyle w:val="ListParagraph"/>
        <w:numPr>
          <w:ilvl w:val="0"/>
          <w:numId w:val="15"/>
        </w:numPr>
        <w:tabs>
          <w:tab w:val="left" w:pos="940"/>
          <w:tab w:val="left" w:pos="1440"/>
        </w:tabs>
        <w:spacing w:before="120" w:line="264" w:lineRule="auto"/>
        <w:ind w:left="1627"/>
        <w:contextualSpacing w:val="0"/>
        <w:rPr>
          <w:rFonts w:ascii="Arial" w:eastAsia="Arial" w:hAnsi="Arial" w:cs="Arial"/>
        </w:rPr>
      </w:pPr>
      <w:r w:rsidRPr="00AB2CD8">
        <w:rPr>
          <w:rFonts w:ascii="Arial" w:eastAsia="Arial" w:hAnsi="Arial" w:cs="Arial"/>
        </w:rPr>
        <w:t>Reduce member premium share</w:t>
      </w:r>
      <w:r w:rsidR="00AB2CD8">
        <w:rPr>
          <w:rFonts w:ascii="Arial" w:eastAsia="Arial" w:hAnsi="Arial" w:cs="Arial"/>
        </w:rPr>
        <w:t>; and</w:t>
      </w:r>
    </w:p>
    <w:p w14:paraId="1E540293" w14:textId="33B71AC5" w:rsidR="00AB2CD8" w:rsidRPr="00A9092A" w:rsidRDefault="00AB2CD8" w:rsidP="00487763">
      <w:pPr>
        <w:pStyle w:val="ListParagraph"/>
        <w:numPr>
          <w:ilvl w:val="0"/>
          <w:numId w:val="15"/>
        </w:numPr>
        <w:tabs>
          <w:tab w:val="left" w:pos="940"/>
          <w:tab w:val="left" w:pos="1440"/>
        </w:tabs>
        <w:spacing w:before="120" w:line="264" w:lineRule="auto"/>
        <w:ind w:left="1627"/>
        <w:contextualSpacing w:val="0"/>
        <w:rPr>
          <w:rFonts w:ascii="Arial" w:eastAsia="Arial" w:hAnsi="Arial" w:cs="Arial"/>
        </w:rPr>
      </w:pPr>
      <w:r w:rsidRPr="00A9092A">
        <w:rPr>
          <w:rFonts w:ascii="Arial" w:eastAsia="Arial" w:hAnsi="Arial" w:cs="Arial"/>
        </w:rPr>
        <w:tab/>
        <w:t xml:space="preserve">Any other changes approved by trustees. </w:t>
      </w:r>
    </w:p>
    <w:p w14:paraId="7CE9CBD7" w14:textId="77777777" w:rsidR="00CC4BA6" w:rsidRDefault="00CC4BA6" w:rsidP="00487763">
      <w:pPr>
        <w:tabs>
          <w:tab w:val="left" w:pos="940"/>
          <w:tab w:val="left" w:pos="1440"/>
        </w:tabs>
        <w:spacing w:line="264" w:lineRule="auto"/>
        <w:ind w:left="1440" w:hanging="504"/>
        <w:rPr>
          <w:rFonts w:ascii="Arial" w:eastAsia="Arial" w:hAnsi="Arial" w:cs="Arial"/>
        </w:rPr>
      </w:pPr>
    </w:p>
    <w:p w14:paraId="303E0206" w14:textId="398F8339" w:rsidR="00CC4BA6" w:rsidRDefault="00F11EA7" w:rsidP="00487763">
      <w:pPr>
        <w:numPr>
          <w:ilvl w:val="1"/>
          <w:numId w:val="7"/>
        </w:numPr>
        <w:spacing w:line="264" w:lineRule="auto"/>
        <w:ind w:left="1260" w:hanging="684"/>
        <w:contextualSpacing/>
        <w:rPr>
          <w:rFonts w:ascii="Arial" w:eastAsia="Arial" w:hAnsi="Arial" w:cs="Arial"/>
        </w:rPr>
      </w:pPr>
      <w:r>
        <w:rPr>
          <w:rFonts w:ascii="Arial" w:eastAsia="Arial" w:hAnsi="Arial" w:cs="Arial"/>
        </w:rPr>
        <w:t>Projected</w:t>
      </w:r>
      <w:r w:rsidR="001466D1">
        <w:rPr>
          <w:rFonts w:ascii="Arial" w:eastAsia="Arial" w:hAnsi="Arial" w:cs="Arial"/>
        </w:rPr>
        <w:t xml:space="preserve"> funding deficiencies</w:t>
      </w:r>
      <w:r>
        <w:rPr>
          <w:rFonts w:ascii="Arial" w:eastAsia="Arial" w:hAnsi="Arial" w:cs="Arial"/>
        </w:rPr>
        <w:t xml:space="preserve"> at the conclusion of a three year projection period </w:t>
      </w:r>
      <w:r w:rsidR="001466D1">
        <w:rPr>
          <w:rFonts w:ascii="Arial" w:eastAsia="Arial" w:hAnsi="Arial" w:cs="Arial"/>
        </w:rPr>
        <w:t xml:space="preserve">will be addressed no later than the </w:t>
      </w:r>
      <w:r w:rsidR="007F7475">
        <w:rPr>
          <w:rFonts w:ascii="Arial" w:eastAsia="Arial" w:hAnsi="Arial" w:cs="Arial"/>
        </w:rPr>
        <w:t xml:space="preserve">last </w:t>
      </w:r>
      <w:r w:rsidR="001466D1">
        <w:rPr>
          <w:rFonts w:ascii="Arial" w:eastAsia="Arial" w:hAnsi="Arial" w:cs="Arial"/>
        </w:rPr>
        <w:t>plan renewal (as of September 1st)</w:t>
      </w:r>
      <w:r w:rsidR="0056732B">
        <w:rPr>
          <w:rFonts w:ascii="Arial" w:eastAsia="Arial" w:hAnsi="Arial" w:cs="Arial"/>
        </w:rPr>
        <w:t xml:space="preserve"> </w:t>
      </w:r>
      <w:r w:rsidR="007F7475">
        <w:rPr>
          <w:rFonts w:ascii="Arial" w:eastAsia="Arial" w:hAnsi="Arial" w:cs="Arial"/>
        </w:rPr>
        <w:t>prior to the conclusion of the 3 year projection</w:t>
      </w:r>
      <w:r w:rsidR="0056732B">
        <w:rPr>
          <w:rFonts w:ascii="Arial" w:eastAsia="Arial" w:hAnsi="Arial" w:cs="Arial"/>
        </w:rPr>
        <w:t xml:space="preserve"> period</w:t>
      </w:r>
      <w:r w:rsidR="001466D1">
        <w:rPr>
          <w:rFonts w:ascii="Arial" w:eastAsia="Arial" w:hAnsi="Arial" w:cs="Arial"/>
        </w:rPr>
        <w:t xml:space="preserve"> using one or more of the following methods, as determined by the Trustees: </w:t>
      </w:r>
    </w:p>
    <w:p w14:paraId="55E07107" w14:textId="77777777" w:rsidR="00CC4BA6" w:rsidRPr="00AB2CD8" w:rsidRDefault="001466D1" w:rsidP="00487763">
      <w:pPr>
        <w:pStyle w:val="ListParagraph"/>
        <w:numPr>
          <w:ilvl w:val="0"/>
          <w:numId w:val="17"/>
        </w:numPr>
        <w:tabs>
          <w:tab w:val="left" w:pos="940"/>
          <w:tab w:val="left" w:pos="1440"/>
        </w:tabs>
        <w:spacing w:before="120" w:line="264" w:lineRule="auto"/>
        <w:ind w:left="1627"/>
        <w:contextualSpacing w:val="0"/>
        <w:rPr>
          <w:rFonts w:ascii="Arial" w:eastAsia="Arial" w:hAnsi="Arial" w:cs="Arial"/>
        </w:rPr>
      </w:pPr>
      <w:r w:rsidRPr="00AB2CD8">
        <w:rPr>
          <w:rFonts w:ascii="Arial" w:eastAsia="Arial" w:hAnsi="Arial" w:cs="Arial"/>
        </w:rPr>
        <w:t xml:space="preserve">Use existing claims stabilization funds; </w:t>
      </w:r>
      <w:r w:rsidRPr="00AB2CD8">
        <w:rPr>
          <w:rFonts w:ascii="MS Gothic" w:eastAsia="MS Gothic" w:hAnsi="MS Gothic" w:cs="MS Gothic"/>
        </w:rPr>
        <w:t> </w:t>
      </w:r>
    </w:p>
    <w:p w14:paraId="1E5CF302" w14:textId="77777777" w:rsidR="00CC4BA6" w:rsidRPr="00AB2CD8" w:rsidRDefault="001466D1" w:rsidP="00487763">
      <w:pPr>
        <w:pStyle w:val="ListParagraph"/>
        <w:numPr>
          <w:ilvl w:val="0"/>
          <w:numId w:val="17"/>
        </w:numPr>
        <w:tabs>
          <w:tab w:val="left" w:pos="940"/>
          <w:tab w:val="left" w:pos="1440"/>
        </w:tabs>
        <w:spacing w:before="120" w:line="264" w:lineRule="auto"/>
        <w:ind w:left="1627"/>
        <w:contextualSpacing w:val="0"/>
        <w:rPr>
          <w:rFonts w:ascii="Arial" w:eastAsia="Arial" w:hAnsi="Arial" w:cs="Arial"/>
        </w:rPr>
      </w:pPr>
      <w:r w:rsidRPr="00AB2CD8">
        <w:rPr>
          <w:rFonts w:ascii="Arial" w:eastAsia="Arial" w:hAnsi="Arial" w:cs="Arial"/>
        </w:rPr>
        <w:t xml:space="preserve">Increase member premium share; </w:t>
      </w:r>
      <w:r w:rsidRPr="00AB2CD8">
        <w:rPr>
          <w:rFonts w:ascii="MS Gothic" w:eastAsia="MS Gothic" w:hAnsi="MS Gothic" w:cs="MS Gothic"/>
        </w:rPr>
        <w:t> </w:t>
      </w:r>
    </w:p>
    <w:p w14:paraId="6EE368EB" w14:textId="77777777" w:rsidR="00CC4BA6" w:rsidRPr="00AB2CD8" w:rsidRDefault="001466D1" w:rsidP="00487763">
      <w:pPr>
        <w:pStyle w:val="ListParagraph"/>
        <w:numPr>
          <w:ilvl w:val="0"/>
          <w:numId w:val="17"/>
        </w:numPr>
        <w:tabs>
          <w:tab w:val="left" w:pos="940"/>
          <w:tab w:val="left" w:pos="1440"/>
        </w:tabs>
        <w:spacing w:before="120" w:line="264" w:lineRule="auto"/>
        <w:ind w:left="1627"/>
        <w:contextualSpacing w:val="0"/>
        <w:rPr>
          <w:rFonts w:ascii="Arial" w:eastAsia="Arial" w:hAnsi="Arial" w:cs="Arial"/>
        </w:rPr>
      </w:pPr>
      <w:r w:rsidRPr="00AB2CD8">
        <w:rPr>
          <w:rFonts w:ascii="Arial" w:eastAsia="Arial" w:hAnsi="Arial" w:cs="Arial"/>
        </w:rPr>
        <w:t xml:space="preserve">Change plan design; </w:t>
      </w:r>
      <w:r w:rsidRPr="00AB2CD8">
        <w:rPr>
          <w:rFonts w:ascii="MS Gothic" w:eastAsia="MS Gothic" w:hAnsi="MS Gothic" w:cs="MS Gothic"/>
        </w:rPr>
        <w:t> </w:t>
      </w:r>
    </w:p>
    <w:p w14:paraId="253CED5E" w14:textId="77777777" w:rsidR="00CC4BA6" w:rsidRPr="00AB2CD8" w:rsidRDefault="001466D1" w:rsidP="00487763">
      <w:pPr>
        <w:pStyle w:val="ListParagraph"/>
        <w:numPr>
          <w:ilvl w:val="0"/>
          <w:numId w:val="17"/>
        </w:numPr>
        <w:tabs>
          <w:tab w:val="left" w:pos="940"/>
          <w:tab w:val="left" w:pos="1440"/>
        </w:tabs>
        <w:spacing w:before="120" w:line="264" w:lineRule="auto"/>
        <w:ind w:left="1627"/>
        <w:contextualSpacing w:val="0"/>
        <w:rPr>
          <w:rFonts w:ascii="MS Gothic" w:eastAsia="MS Gothic" w:hAnsi="MS Gothic" w:cs="MS Gothic"/>
        </w:rPr>
      </w:pPr>
      <w:r w:rsidRPr="00AB2CD8">
        <w:rPr>
          <w:rFonts w:ascii="Arial" w:eastAsia="Arial" w:hAnsi="Arial" w:cs="Arial"/>
        </w:rPr>
        <w:t>Implement cost containment tools;</w:t>
      </w:r>
    </w:p>
    <w:p w14:paraId="2D6AFB80" w14:textId="120351E6" w:rsidR="00621217" w:rsidRDefault="004E1599" w:rsidP="00487763">
      <w:pPr>
        <w:pStyle w:val="ListParagraph"/>
        <w:numPr>
          <w:ilvl w:val="0"/>
          <w:numId w:val="17"/>
        </w:numPr>
        <w:tabs>
          <w:tab w:val="left" w:pos="940"/>
          <w:tab w:val="left" w:pos="1440"/>
        </w:tabs>
        <w:spacing w:before="120" w:line="264" w:lineRule="auto"/>
        <w:ind w:left="1627"/>
        <w:contextualSpacing w:val="0"/>
        <w:rPr>
          <w:rFonts w:ascii="Arial" w:eastAsia="Arial" w:hAnsi="Arial" w:cs="Arial"/>
        </w:rPr>
      </w:pPr>
      <w:r w:rsidRPr="00AB2CD8">
        <w:rPr>
          <w:rFonts w:ascii="Arial" w:eastAsia="Arial" w:hAnsi="Arial" w:cs="Arial"/>
        </w:rPr>
        <w:t>A</w:t>
      </w:r>
      <w:r w:rsidR="00621217" w:rsidRPr="00AB2CD8">
        <w:rPr>
          <w:rFonts w:ascii="Arial" w:eastAsia="Arial" w:hAnsi="Arial" w:cs="Arial"/>
        </w:rPr>
        <w:t>dopt measures to decrease administrative or delivery costs</w:t>
      </w:r>
      <w:r w:rsidRPr="00AB2CD8">
        <w:rPr>
          <w:rFonts w:ascii="Arial" w:eastAsia="Arial" w:hAnsi="Arial" w:cs="Arial"/>
        </w:rPr>
        <w:t>;</w:t>
      </w:r>
    </w:p>
    <w:p w14:paraId="24699F13" w14:textId="2E5C852E" w:rsidR="00AB2CD8" w:rsidRPr="00A9092A" w:rsidRDefault="00AB2CD8" w:rsidP="00AB2CD8">
      <w:pPr>
        <w:pStyle w:val="ListParagraph"/>
        <w:numPr>
          <w:ilvl w:val="0"/>
          <w:numId w:val="17"/>
        </w:numPr>
        <w:tabs>
          <w:tab w:val="left" w:pos="940"/>
          <w:tab w:val="left" w:pos="1440"/>
        </w:tabs>
        <w:spacing w:before="120" w:line="264" w:lineRule="auto"/>
        <w:contextualSpacing w:val="0"/>
        <w:rPr>
          <w:rFonts w:ascii="Arial" w:eastAsia="Arial" w:hAnsi="Arial" w:cs="Arial"/>
        </w:rPr>
      </w:pPr>
      <w:r w:rsidRPr="00A9092A">
        <w:rPr>
          <w:rFonts w:ascii="Arial" w:eastAsia="Arial" w:hAnsi="Arial" w:cs="Arial"/>
        </w:rPr>
        <w:tab/>
        <w:t xml:space="preserve">Any other changes approved by trustees. </w:t>
      </w:r>
    </w:p>
    <w:p w14:paraId="6CEB17F7" w14:textId="77777777" w:rsidR="00AB2CD8" w:rsidRPr="00AB2CD8" w:rsidRDefault="00AB2CD8" w:rsidP="00AB2CD8">
      <w:pPr>
        <w:pStyle w:val="ListParagraph"/>
        <w:tabs>
          <w:tab w:val="left" w:pos="940"/>
          <w:tab w:val="left" w:pos="1440"/>
        </w:tabs>
        <w:spacing w:before="120" w:line="264" w:lineRule="auto"/>
        <w:ind w:left="1627"/>
        <w:contextualSpacing w:val="0"/>
        <w:rPr>
          <w:rFonts w:ascii="Arial" w:eastAsia="Arial" w:hAnsi="Arial" w:cs="Arial"/>
          <w:strike/>
        </w:rPr>
      </w:pPr>
    </w:p>
    <w:p w14:paraId="4B28AC1E" w14:textId="77777777" w:rsidR="00CC4BA6" w:rsidRPr="00844AF2" w:rsidRDefault="001466D1" w:rsidP="00487763">
      <w:pPr>
        <w:spacing w:line="264" w:lineRule="auto"/>
        <w:rPr>
          <w:strike/>
        </w:rPr>
      </w:pPr>
      <w:r w:rsidRPr="00844AF2">
        <w:rPr>
          <w:strike/>
        </w:rPr>
        <w:br w:type="page"/>
      </w:r>
    </w:p>
    <w:p w14:paraId="725FE1B3" w14:textId="77777777" w:rsidR="00CC4BA6" w:rsidRPr="001709CA" w:rsidRDefault="001466D1" w:rsidP="004B3B5E">
      <w:pPr>
        <w:pStyle w:val="Heading1"/>
        <w:numPr>
          <w:ilvl w:val="0"/>
          <w:numId w:val="7"/>
        </w:numPr>
        <w:spacing w:before="0" w:line="264" w:lineRule="auto"/>
        <w:ind w:left="540" w:hanging="540"/>
        <w:rPr>
          <w:color w:val="000000"/>
          <w:sz w:val="22"/>
        </w:rPr>
      </w:pPr>
      <w:bookmarkStart w:id="12" w:name="_Toc520275068"/>
      <w:r>
        <w:rPr>
          <w:color w:val="000000"/>
        </w:rPr>
        <w:lastRenderedPageBreak/>
        <w:t>Communications</w:t>
      </w:r>
      <w:bookmarkEnd w:id="12"/>
    </w:p>
    <w:p w14:paraId="636271F5" w14:textId="77777777" w:rsidR="001709CA" w:rsidRDefault="001709CA" w:rsidP="004B3B5E">
      <w:pPr>
        <w:spacing w:line="264" w:lineRule="auto"/>
        <w:ind w:left="540"/>
        <w:contextualSpacing/>
        <w:rPr>
          <w:rFonts w:ascii="Arial" w:eastAsia="Arial" w:hAnsi="Arial" w:cs="Arial"/>
        </w:rPr>
      </w:pPr>
    </w:p>
    <w:p w14:paraId="52BAAD6D" w14:textId="3390F302" w:rsidR="00CC4BA6" w:rsidRDefault="001466D1" w:rsidP="004B3B5E">
      <w:pPr>
        <w:numPr>
          <w:ilvl w:val="1"/>
          <w:numId w:val="7"/>
        </w:numPr>
        <w:spacing w:line="264" w:lineRule="auto"/>
        <w:ind w:left="1260" w:hanging="720"/>
        <w:contextualSpacing/>
        <w:rPr>
          <w:rFonts w:ascii="Arial" w:eastAsia="Arial" w:hAnsi="Arial" w:cs="Arial"/>
        </w:rPr>
      </w:pPr>
      <w:r>
        <w:rPr>
          <w:rFonts w:ascii="Arial" w:eastAsia="Arial" w:hAnsi="Arial" w:cs="Arial"/>
        </w:rPr>
        <w:t>The Trustees will provide annual reports to Trust beneficiaries</w:t>
      </w:r>
      <w:r w:rsidR="00AB2CD8">
        <w:rPr>
          <w:rFonts w:ascii="Arial" w:eastAsia="Arial" w:hAnsi="Arial" w:cs="Arial"/>
        </w:rPr>
        <w:t xml:space="preserve"> </w:t>
      </w:r>
      <w:r w:rsidR="00AB2CD8" w:rsidRPr="00A9092A">
        <w:rPr>
          <w:rFonts w:ascii="Arial" w:eastAsia="Arial" w:hAnsi="Arial" w:cs="Arial"/>
        </w:rPr>
        <w:t>and to the parties of the Trust Agreement (OSSTF, OPSBA, Crown)</w:t>
      </w:r>
      <w:r w:rsidR="00AB2CD8">
        <w:rPr>
          <w:rFonts w:ascii="Arial" w:eastAsia="Arial" w:hAnsi="Arial" w:cs="Arial"/>
        </w:rPr>
        <w:t xml:space="preserve"> </w:t>
      </w:r>
      <w:r>
        <w:rPr>
          <w:rFonts w:ascii="Arial" w:eastAsia="Arial" w:hAnsi="Arial" w:cs="Arial"/>
        </w:rPr>
        <w:t>on the experience of the Trust.</w:t>
      </w:r>
    </w:p>
    <w:p w14:paraId="5E9C1E3D" w14:textId="77777777" w:rsidR="00CC4BA6" w:rsidRDefault="00CC4BA6" w:rsidP="004B3B5E">
      <w:pPr>
        <w:spacing w:line="264" w:lineRule="auto"/>
        <w:ind w:left="1080"/>
        <w:rPr>
          <w:rFonts w:ascii="Arial" w:eastAsia="Arial" w:hAnsi="Arial" w:cs="Arial"/>
        </w:rPr>
      </w:pPr>
    </w:p>
    <w:p w14:paraId="2640FCBA" w14:textId="177524E7" w:rsidR="00CC4BA6" w:rsidRDefault="001466D1" w:rsidP="004B3B5E">
      <w:pPr>
        <w:numPr>
          <w:ilvl w:val="1"/>
          <w:numId w:val="7"/>
        </w:numPr>
        <w:spacing w:line="264" w:lineRule="auto"/>
        <w:ind w:left="1260" w:hanging="720"/>
        <w:contextualSpacing/>
        <w:rPr>
          <w:rFonts w:ascii="Arial" w:eastAsia="Arial" w:hAnsi="Arial" w:cs="Arial"/>
        </w:rPr>
      </w:pPr>
      <w:r>
        <w:rPr>
          <w:rFonts w:ascii="Arial" w:eastAsia="Arial" w:hAnsi="Arial" w:cs="Arial"/>
        </w:rPr>
        <w:t>The Trustees will provide access to the Funding Policy to Trust beneficiaries</w:t>
      </w:r>
      <w:r w:rsidR="00AB2CD8">
        <w:rPr>
          <w:rFonts w:ascii="Arial" w:eastAsia="Arial" w:hAnsi="Arial" w:cs="Arial"/>
        </w:rPr>
        <w:t xml:space="preserve"> </w:t>
      </w:r>
      <w:r w:rsidR="00AB2CD8" w:rsidRPr="00A9092A">
        <w:rPr>
          <w:rFonts w:ascii="Arial" w:eastAsia="Arial" w:hAnsi="Arial" w:cs="Arial"/>
        </w:rPr>
        <w:t>and to the parties of the Trust Agreement (OSSTF, OPSBA, Crown).</w:t>
      </w:r>
      <w:r w:rsidR="007A09B2" w:rsidRPr="00A9092A">
        <w:rPr>
          <w:rFonts w:ascii="Arial" w:eastAsia="Arial" w:hAnsi="Arial" w:cs="Arial"/>
        </w:rPr>
        <w:br/>
      </w:r>
    </w:p>
    <w:p w14:paraId="262C3AFF" w14:textId="2E530E06" w:rsidR="00CC4BA6" w:rsidRDefault="001466D1" w:rsidP="004B3B5E">
      <w:pPr>
        <w:numPr>
          <w:ilvl w:val="1"/>
          <w:numId w:val="7"/>
        </w:numPr>
        <w:spacing w:line="264" w:lineRule="auto"/>
        <w:ind w:left="1260" w:hanging="720"/>
        <w:contextualSpacing/>
        <w:rPr>
          <w:rFonts w:ascii="Arial" w:eastAsia="Arial" w:hAnsi="Arial" w:cs="Arial"/>
          <w:color w:val="FF0000"/>
        </w:rPr>
      </w:pPr>
      <w:r w:rsidRPr="007E7842">
        <w:rPr>
          <w:rFonts w:ascii="Arial" w:eastAsia="Arial" w:hAnsi="Arial" w:cs="Arial"/>
          <w:color w:val="000000" w:themeColor="text1"/>
        </w:rPr>
        <w:t xml:space="preserve">The Trustees will </w:t>
      </w:r>
      <w:r>
        <w:rPr>
          <w:rFonts w:ascii="Arial" w:eastAsia="Arial" w:hAnsi="Arial" w:cs="Arial"/>
          <w:color w:val="000000" w:themeColor="text1"/>
        </w:rPr>
        <w:t>provide a</w:t>
      </w:r>
      <w:r w:rsidR="00AB2CD8">
        <w:rPr>
          <w:rFonts w:ascii="Arial" w:eastAsia="Arial" w:hAnsi="Arial" w:cs="Arial"/>
          <w:color w:val="000000" w:themeColor="text1"/>
        </w:rPr>
        <w:t>n</w:t>
      </w:r>
      <w:r>
        <w:rPr>
          <w:rFonts w:ascii="Arial" w:eastAsia="Arial" w:hAnsi="Arial" w:cs="Arial"/>
          <w:color w:val="000000" w:themeColor="text1"/>
        </w:rPr>
        <w:t xml:space="preserve"> </w:t>
      </w:r>
      <w:r w:rsidR="00AB2CD8" w:rsidRPr="00A9092A">
        <w:rPr>
          <w:rFonts w:ascii="Arial" w:eastAsia="Arial" w:hAnsi="Arial" w:cs="Arial"/>
          <w:color w:val="000000" w:themeColor="text1"/>
        </w:rPr>
        <w:t>audited</w:t>
      </w:r>
      <w:r w:rsidR="00AB2CD8">
        <w:rPr>
          <w:rFonts w:ascii="Arial" w:eastAsia="Arial" w:hAnsi="Arial" w:cs="Arial"/>
          <w:b/>
          <w:i/>
          <w:color w:val="000000" w:themeColor="text1"/>
        </w:rPr>
        <w:t xml:space="preserve"> </w:t>
      </w:r>
      <w:r>
        <w:rPr>
          <w:rFonts w:ascii="Arial" w:eastAsia="Arial" w:hAnsi="Arial" w:cs="Arial"/>
          <w:color w:val="000000" w:themeColor="text1"/>
        </w:rPr>
        <w:t xml:space="preserve">financial report </w:t>
      </w:r>
      <w:r w:rsidRPr="007E7842">
        <w:rPr>
          <w:rFonts w:ascii="Arial" w:eastAsia="Arial" w:hAnsi="Arial" w:cs="Arial"/>
          <w:color w:val="000000" w:themeColor="text1"/>
        </w:rPr>
        <w:t xml:space="preserve">annually </w:t>
      </w:r>
      <w:r>
        <w:rPr>
          <w:rFonts w:ascii="Arial" w:eastAsia="Arial" w:hAnsi="Arial" w:cs="Arial"/>
          <w:color w:val="000000" w:themeColor="text1"/>
        </w:rPr>
        <w:t xml:space="preserve">to </w:t>
      </w:r>
      <w:r w:rsidRPr="007E7842">
        <w:rPr>
          <w:rFonts w:ascii="Arial" w:eastAsia="Arial" w:hAnsi="Arial" w:cs="Arial"/>
          <w:color w:val="000000" w:themeColor="text1"/>
        </w:rPr>
        <w:t>the parties to the Trust Agreement (</w:t>
      </w:r>
      <w:r w:rsidR="0091439C">
        <w:rPr>
          <w:rFonts w:ascii="Arial" w:eastAsia="Arial" w:hAnsi="Arial" w:cs="Arial"/>
          <w:color w:val="000000" w:themeColor="text1"/>
        </w:rPr>
        <w:t>OSSTF</w:t>
      </w:r>
      <w:r w:rsidRPr="007E7842">
        <w:rPr>
          <w:rFonts w:ascii="Arial" w:eastAsia="Arial" w:hAnsi="Arial" w:cs="Arial"/>
          <w:color w:val="000000" w:themeColor="text1"/>
        </w:rPr>
        <w:t>, OPSBA, Crown).</w:t>
      </w:r>
      <w:r w:rsidR="001709CA">
        <w:rPr>
          <w:rFonts w:ascii="Arial" w:eastAsia="Arial" w:hAnsi="Arial" w:cs="Arial"/>
          <w:color w:val="000000" w:themeColor="text1"/>
        </w:rPr>
        <w:t xml:space="preserve"> </w:t>
      </w:r>
    </w:p>
    <w:p w14:paraId="6FE82687" w14:textId="77777777" w:rsidR="00862457" w:rsidRDefault="00862457" w:rsidP="00862457">
      <w:pPr>
        <w:spacing w:line="264" w:lineRule="auto"/>
      </w:pPr>
      <w:bookmarkStart w:id="13" w:name="_35nkun2" w:colFirst="0" w:colLast="0"/>
      <w:bookmarkStart w:id="14" w:name="_Toc520275069"/>
      <w:bookmarkEnd w:id="13"/>
    </w:p>
    <w:p w14:paraId="73F11283" w14:textId="21508C0F" w:rsidR="00CC4BA6" w:rsidRPr="00862457" w:rsidRDefault="001466D1" w:rsidP="00862457">
      <w:pPr>
        <w:pStyle w:val="ListParagraph"/>
        <w:numPr>
          <w:ilvl w:val="0"/>
          <w:numId w:val="7"/>
        </w:numPr>
        <w:spacing w:line="264" w:lineRule="auto"/>
        <w:ind w:hanging="720"/>
        <w:rPr>
          <w:rFonts w:ascii="Arial" w:hAnsi="Arial" w:cs="Arial"/>
          <w:b/>
          <w:sz w:val="32"/>
          <w:szCs w:val="32"/>
        </w:rPr>
      </w:pPr>
      <w:r w:rsidRPr="00862457">
        <w:rPr>
          <w:rFonts w:ascii="Arial" w:hAnsi="Arial" w:cs="Arial"/>
          <w:b/>
          <w:sz w:val="32"/>
          <w:szCs w:val="32"/>
        </w:rPr>
        <w:t>Review and Monitori</w:t>
      </w:r>
      <w:r w:rsidR="00862457" w:rsidRPr="00862457">
        <w:rPr>
          <w:rFonts w:ascii="Arial" w:hAnsi="Arial" w:cs="Arial"/>
          <w:b/>
          <w:sz w:val="32"/>
          <w:szCs w:val="32"/>
        </w:rPr>
        <w:t>n</w:t>
      </w:r>
      <w:r w:rsidRPr="00862457">
        <w:rPr>
          <w:rFonts w:ascii="Arial" w:hAnsi="Arial" w:cs="Arial"/>
          <w:b/>
          <w:sz w:val="32"/>
          <w:szCs w:val="32"/>
        </w:rPr>
        <w:t>g</w:t>
      </w:r>
      <w:bookmarkEnd w:id="14"/>
    </w:p>
    <w:p w14:paraId="02601278" w14:textId="77777777" w:rsidR="004B3B5E" w:rsidRDefault="004B3B5E" w:rsidP="004B3B5E">
      <w:pPr>
        <w:spacing w:line="264" w:lineRule="auto"/>
        <w:ind w:left="567"/>
        <w:contextualSpacing/>
        <w:rPr>
          <w:rFonts w:ascii="Arial" w:eastAsia="Arial" w:hAnsi="Arial" w:cs="Arial"/>
        </w:rPr>
      </w:pPr>
    </w:p>
    <w:p w14:paraId="3AB14835" w14:textId="77777777" w:rsidR="00CC4BA6" w:rsidRDefault="001466D1" w:rsidP="004B3B5E">
      <w:pPr>
        <w:numPr>
          <w:ilvl w:val="1"/>
          <w:numId w:val="7"/>
        </w:numPr>
        <w:spacing w:line="264" w:lineRule="auto"/>
        <w:ind w:left="1260" w:hanging="684"/>
        <w:contextualSpacing/>
        <w:rPr>
          <w:rFonts w:ascii="Arial" w:eastAsia="Arial" w:hAnsi="Arial" w:cs="Arial"/>
        </w:rPr>
      </w:pPr>
      <w:r>
        <w:rPr>
          <w:rFonts w:ascii="Arial" w:eastAsia="Arial" w:hAnsi="Arial" w:cs="Arial"/>
        </w:rPr>
        <w:t>This Policy may be reviewed and revised at any time, but the Trustees will formally review it at least annually.</w:t>
      </w:r>
    </w:p>
    <w:sectPr w:rsidR="00CC4BA6" w:rsidSect="002771A9">
      <w:footerReference w:type="default" r:id="rId12"/>
      <w:type w:val="continuous"/>
      <w:pgSz w:w="12240" w:h="15840"/>
      <w:pgMar w:top="1440" w:right="1296" w:bottom="1080"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8C8C" w14:textId="77777777" w:rsidR="00DA57D0" w:rsidRDefault="00DA57D0">
      <w:r>
        <w:separator/>
      </w:r>
    </w:p>
  </w:endnote>
  <w:endnote w:type="continuationSeparator" w:id="0">
    <w:p w14:paraId="70C1F00B" w14:textId="77777777" w:rsidR="00DA57D0" w:rsidRDefault="00DA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E6E3" w14:textId="77777777" w:rsidR="00CC4BA6" w:rsidRDefault="00CC4BA6">
    <w:pPr>
      <w:tabs>
        <w:tab w:val="center" w:pos="4320"/>
        <w:tab w:val="right" w:pos="8640"/>
      </w:tabs>
      <w:spacing w:after="709"/>
      <w:ind w:right="360"/>
      <w:rPr>
        <w:rFonts w:ascii="Arial" w:eastAsia="Arial" w:hAnsi="Arial" w:cs="Arial"/>
        <w:color w:val="7CBD31"/>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1EF3" w14:textId="33F6F5A0" w:rsidR="00374FB4" w:rsidRPr="002771A9" w:rsidRDefault="00352A55" w:rsidP="00374FB4">
    <w:pPr>
      <w:tabs>
        <w:tab w:val="center" w:pos="4320"/>
        <w:tab w:val="right" w:pos="8640"/>
      </w:tabs>
      <w:jc w:val="center"/>
      <w:rPr>
        <w:rFonts w:ascii="Arial" w:eastAsia="Arial" w:hAnsi="Arial" w:cs="Arial"/>
        <w:color w:val="7CBD31"/>
        <w:sz w:val="20"/>
      </w:rPr>
    </w:pPr>
    <w:r w:rsidRPr="002771A9">
      <w:rPr>
        <w:rFonts w:ascii="Arial" w:hAnsi="Arial" w:cs="Arial"/>
        <w:noProof/>
        <w:sz w:val="20"/>
        <w:lang w:val="en-CA" w:eastAsia="en-CA"/>
      </w:rPr>
      <mc:AlternateContent>
        <mc:Choice Requires="wps">
          <w:drawing>
            <wp:anchor distT="0" distB="0" distL="114300" distR="114300" simplePos="0" relativeHeight="251666432" behindDoc="0" locked="0" layoutInCell="0" hidden="0" allowOverlap="1" wp14:anchorId="699663E0" wp14:editId="49826F8D">
              <wp:simplePos x="0" y="0"/>
              <wp:positionH relativeFrom="margin">
                <wp:posOffset>0</wp:posOffset>
              </wp:positionH>
              <wp:positionV relativeFrom="paragraph">
                <wp:posOffset>-114300</wp:posOffset>
              </wp:positionV>
              <wp:extent cx="6286500" cy="12700"/>
              <wp:effectExtent l="0" t="0" r="19050" b="25400"/>
              <wp:wrapNone/>
              <wp:docPr id="3" name="Straight Arrow Connector 3"/>
              <wp:cNvGraphicFramePr/>
              <a:graphic xmlns:a="http://schemas.openxmlformats.org/drawingml/2006/main">
                <a:graphicData uri="http://schemas.microsoft.com/office/word/2010/wordprocessingShape">
                  <wps:wsp>
                    <wps:cNvCnPr/>
                    <wps:spPr>
                      <a:xfrm>
                        <a:off x="0" y="0"/>
                        <a:ext cx="6286500" cy="12700"/>
                      </a:xfrm>
                      <a:prstGeom prst="straightConnector1">
                        <a:avLst/>
                      </a:prstGeom>
                      <a:noFill/>
                      <a:ln w="19050" cap="flat" cmpd="sng">
                        <a:solidFill>
                          <a:srgbClr val="473931"/>
                        </a:solidFill>
                        <a:prstDash val="solid"/>
                        <a:round/>
                        <a:headEnd type="none" w="med" len="med"/>
                        <a:tailEnd type="none" w="med" len="med"/>
                      </a:ln>
                    </wps:spPr>
                    <wps:bodyPr/>
                  </wps:wsp>
                </a:graphicData>
              </a:graphic>
            </wp:anchor>
          </w:drawing>
        </mc:Choice>
        <mc:Fallback>
          <w:pict>
            <v:shapetype w14:anchorId="72FAB0D4" id="_x0000_t32" coordsize="21600,21600" o:spt="32" o:oned="t" path="m,l21600,21600e" filled="f">
              <v:path arrowok="t" fillok="f" o:connecttype="none"/>
              <o:lock v:ext="edit" shapetype="t"/>
            </v:shapetype>
            <v:shape id="Straight Arrow Connector 3" o:spid="_x0000_s1026" type="#_x0000_t32" style="position:absolute;margin-left:0;margin-top:-9pt;width:495pt;height:1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IP4QEAALsDAAAOAAAAZHJzL2Uyb0RvYy54bWysU9tu2zAMfR+wfxD0vthO1rQ14hRDsu5l&#10;2AJ0+wBGkm0BuoFS4+TvRylpusvLMOxFpkieQ/KIXj0crWEHhVF71/FmVnOmnPBSu6Hj3789vrvj&#10;LCZwEox3quMnFfnD+u2b1RRaNfejN1IhIxIX2yl0fEwptFUVxagsxJkPylGw92gh0RWHSiJMxG5N&#10;Na/rZTV5lAG9UDGSd3sO8nXh73sl0te+jyox03HqLZUTy7nPZ7VeQTsghFGLSxvwD11Y0I6KXqm2&#10;kIA9o/6DymqBPvo+zYS3le97LVSZgaZp6t+meRohqDILiRPDVab4/2jFl8MOmZYdX3DmwNITPSUE&#10;PYyJfUD0E9t450hGj2yR1ZpCbAm0cTu83GLYYR792KPNXxqKHYvCp6vC6piYIOdyfre8qekhBMWa&#10;+S2ZxFK9ggPG9El5y7LR8Xjp5dpEU1SGw+eYzsAXQK7s/KM2hvzQGscmqnBf3+RiQJvVG0hk2kCz&#10;RjcUnuiNlhmTIRGH/cYgOwDtyvvbxf2iuTT3S1ouuIU4nvNKKKdBi/7ZyWKNCuRHJ1k6BdLT0eLz&#10;3I1VkjOj6D/JVslMoM3fZJJCxpFQWf2z3tnae3kqz1D8tCFFyss25xX8+V7Qr//c+gcAAAD//wMA&#10;UEsDBBQABgAIAAAAIQA52Yx43QAAAAgBAAAPAAAAZHJzL2Rvd25yZXYueG1sTI9BS8NAEIXvgv9h&#10;GcFbu1uR0sRsigiliCdjEXubZsckmp0N2W0b/73Tk97ezBvefK9YT75XJxpjF9jCYm5AEdfBddxY&#10;2L1tZitQMSE77AOThR+KsC6vrwrMXTjzK52q1CgJ4ZijhTalIdc61i15jPMwEIv3GUaPScax0W7E&#10;s4T7Xt8Zs9QeO5YPLQ701FL9XR29hecX9/W+2e3vMQvb7Uem47ivamtvb6bHB1CJpvR3DBd8QYdS&#10;mA7hyC6q3oIUSRZmi5UIsbPMiDhcNksDuiz0/wLlLwAAAP//AwBQSwECLQAUAAYACAAAACEAtoM4&#10;kv4AAADhAQAAEwAAAAAAAAAAAAAAAAAAAAAAW0NvbnRlbnRfVHlwZXNdLnhtbFBLAQItABQABgAI&#10;AAAAIQA4/SH/1gAAAJQBAAALAAAAAAAAAAAAAAAAAC8BAABfcmVscy8ucmVsc1BLAQItABQABgAI&#10;AAAAIQAuUvIP4QEAALsDAAAOAAAAAAAAAAAAAAAAAC4CAABkcnMvZTJvRG9jLnhtbFBLAQItABQA&#10;BgAIAAAAIQA52Yx43QAAAAgBAAAPAAAAAAAAAAAAAAAAADsEAABkcnMvZG93bnJldi54bWxQSwUG&#10;AAAAAAQABADzAAAARQUAAAAA&#10;" o:allowincell="f" strokecolor="#473931" strokeweight="1.5pt">
              <w10:wrap anchorx="margin"/>
            </v:shape>
          </w:pict>
        </mc:Fallback>
      </mc:AlternateContent>
    </w:r>
    <w:r w:rsidR="00374FB4" w:rsidRPr="002771A9">
      <w:rPr>
        <w:rFonts w:ascii="Arial" w:hAnsi="Arial" w:cs="Arial"/>
        <w:sz w:val="20"/>
      </w:rPr>
      <w:fldChar w:fldCharType="begin"/>
    </w:r>
    <w:r w:rsidR="00374FB4" w:rsidRPr="002771A9">
      <w:rPr>
        <w:rFonts w:ascii="Arial" w:hAnsi="Arial" w:cs="Arial"/>
        <w:sz w:val="20"/>
      </w:rPr>
      <w:instrText>PAGE</w:instrText>
    </w:r>
    <w:r w:rsidR="00374FB4" w:rsidRPr="002771A9">
      <w:rPr>
        <w:rFonts w:ascii="Arial" w:hAnsi="Arial" w:cs="Arial"/>
        <w:sz w:val="20"/>
      </w:rPr>
      <w:fldChar w:fldCharType="separate"/>
    </w:r>
    <w:r w:rsidR="00AA5CBD">
      <w:rPr>
        <w:rFonts w:ascii="Arial" w:hAnsi="Arial" w:cs="Arial"/>
        <w:noProof/>
        <w:sz w:val="20"/>
      </w:rPr>
      <w:t>12</w:t>
    </w:r>
    <w:r w:rsidR="00374FB4" w:rsidRPr="002771A9">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78A1" w14:textId="77777777" w:rsidR="00DA57D0" w:rsidRDefault="00DA57D0">
      <w:r>
        <w:separator/>
      </w:r>
    </w:p>
  </w:footnote>
  <w:footnote w:type="continuationSeparator" w:id="0">
    <w:p w14:paraId="3964E321" w14:textId="77777777" w:rsidR="00DA57D0" w:rsidRDefault="00DA5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05BE" w14:textId="33374932" w:rsidR="00374FB4" w:rsidRDefault="00374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969B" w14:textId="6AFFD043" w:rsidR="00CC4BA6" w:rsidRDefault="00CC4BA6">
    <w:pPr>
      <w:tabs>
        <w:tab w:val="center" w:pos="4320"/>
        <w:tab w:val="right" w:pos="8640"/>
      </w:tabs>
      <w:spacing w:before="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D8E8" w14:textId="41BAB825" w:rsidR="00374FB4" w:rsidRDefault="00374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3F47"/>
    <w:multiLevelType w:val="multilevel"/>
    <w:tmpl w:val="95D6AD68"/>
    <w:lvl w:ilvl="0">
      <w:start w:val="1"/>
      <w:numFmt w:val="bullet"/>
      <w:lvlText w:val=""/>
      <w:lvlJc w:val="left"/>
      <w:pPr>
        <w:ind w:left="1800" w:firstLine="1440"/>
      </w:pPr>
      <w:rPr>
        <w:rFonts w:ascii="Wingdings" w:hAnsi="Wingdings" w:hint="default"/>
        <w:color w:val="auto"/>
        <w:sz w:val="16"/>
        <w:szCs w:val="22"/>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 w15:restartNumberingAfterBreak="0">
    <w:nsid w:val="09DE3446"/>
    <w:multiLevelType w:val="hybridMultilevel"/>
    <w:tmpl w:val="C3AC4FA8"/>
    <w:lvl w:ilvl="0" w:tplc="19C4B7FC">
      <w:start w:val="1"/>
      <w:numFmt w:val="lowerLetter"/>
      <w:lvlText w:val="%1)"/>
      <w:lvlJc w:val="left"/>
      <w:pPr>
        <w:ind w:left="1699" w:hanging="432"/>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133E6F6A"/>
    <w:multiLevelType w:val="multilevel"/>
    <w:tmpl w:val="ECF2B67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B067188"/>
    <w:multiLevelType w:val="multilevel"/>
    <w:tmpl w:val="8A4297E4"/>
    <w:lvl w:ilvl="0">
      <w:start w:val="1"/>
      <w:numFmt w:val="decimal"/>
      <w:lvlText w:val="%1."/>
      <w:lvlJc w:val="left"/>
      <w:pPr>
        <w:ind w:left="720" w:firstLine="360"/>
      </w:pPr>
      <w:rPr>
        <w:b/>
        <w:sz w:val="32"/>
      </w:rPr>
    </w:lvl>
    <w:lvl w:ilvl="1">
      <w:start w:val="1"/>
      <w:numFmt w:val="decimal"/>
      <w:lvlText w:val="%1.%2"/>
      <w:lvlJc w:val="left"/>
      <w:pPr>
        <w:ind w:left="1080" w:firstLine="360"/>
      </w:pPr>
      <w:rPr>
        <w:b/>
        <w:color w:val="000000"/>
      </w:r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4" w15:restartNumberingAfterBreak="0">
    <w:nsid w:val="1C5D4B24"/>
    <w:multiLevelType w:val="multilevel"/>
    <w:tmpl w:val="DC925134"/>
    <w:lvl w:ilvl="0">
      <w:start w:val="1"/>
      <w:numFmt w:val="lowerLetter"/>
      <w:lvlText w:val="%1)"/>
      <w:lvlJc w:val="left"/>
      <w:pPr>
        <w:ind w:left="1485" w:firstLine="1080"/>
      </w:pPr>
    </w:lvl>
    <w:lvl w:ilvl="1">
      <w:start w:val="1"/>
      <w:numFmt w:val="lowerRoman"/>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5" w15:restartNumberingAfterBreak="0">
    <w:nsid w:val="1E0557F4"/>
    <w:multiLevelType w:val="hybridMultilevel"/>
    <w:tmpl w:val="E800E322"/>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5D22574"/>
    <w:multiLevelType w:val="multilevel"/>
    <w:tmpl w:val="21C2859E"/>
    <w:lvl w:ilvl="0">
      <w:start w:val="1"/>
      <w:numFmt w:val="bullet"/>
      <w:lvlText w:val=""/>
      <w:lvlJc w:val="left"/>
      <w:pPr>
        <w:ind w:left="1800" w:firstLine="1440"/>
      </w:pPr>
      <w:rPr>
        <w:rFonts w:ascii="Wingdings" w:hAnsi="Wingdings" w:hint="default"/>
        <w:color w:val="auto"/>
        <w:spacing w:val="-4"/>
        <w:position w:val="0"/>
        <w:sz w:val="18"/>
        <w:szCs w:val="24"/>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AEE2E6B"/>
    <w:multiLevelType w:val="multilevel"/>
    <w:tmpl w:val="D32A9B0A"/>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37EB78F2"/>
    <w:multiLevelType w:val="multilevel"/>
    <w:tmpl w:val="95AEC78C"/>
    <w:lvl w:ilvl="0">
      <w:start w:val="1"/>
      <w:numFmt w:val="lowerLetter"/>
      <w:lvlText w:val="%1)"/>
      <w:lvlJc w:val="left"/>
      <w:pPr>
        <w:ind w:left="1440" w:firstLine="1080"/>
      </w:pPr>
      <w:rPr>
        <w:b w:val="0"/>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9" w15:restartNumberingAfterBreak="0">
    <w:nsid w:val="41395B90"/>
    <w:multiLevelType w:val="multilevel"/>
    <w:tmpl w:val="A4F8686E"/>
    <w:lvl w:ilvl="0">
      <w:start w:val="1"/>
      <w:numFmt w:val="bullet"/>
      <w:lvlText w:val=""/>
      <w:lvlJc w:val="left"/>
      <w:pPr>
        <w:ind w:left="0" w:firstLine="1440"/>
      </w:pPr>
      <w:rPr>
        <w:rFonts w:ascii="Wingdings" w:hAnsi="Wingdings" w:hint="default"/>
        <w:color w:val="auto"/>
        <w:spacing w:val="-4"/>
        <w:position w:val="0"/>
        <w:sz w:val="28"/>
        <w:szCs w:val="24"/>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0" w15:restartNumberingAfterBreak="0">
    <w:nsid w:val="47C47276"/>
    <w:multiLevelType w:val="multilevel"/>
    <w:tmpl w:val="D90880F4"/>
    <w:lvl w:ilvl="0">
      <w:start w:val="1"/>
      <w:numFmt w:val="lowerLetter"/>
      <w:lvlText w:val="%1)"/>
      <w:lvlJc w:val="left"/>
      <w:pPr>
        <w:ind w:left="81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48D01BB6"/>
    <w:multiLevelType w:val="multilevel"/>
    <w:tmpl w:val="BD060B3C"/>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2" w15:restartNumberingAfterBreak="0">
    <w:nsid w:val="4B257CC6"/>
    <w:multiLevelType w:val="hybridMultilevel"/>
    <w:tmpl w:val="62884F56"/>
    <w:lvl w:ilvl="0" w:tplc="BA587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4E74FE"/>
    <w:multiLevelType w:val="multilevel"/>
    <w:tmpl w:val="2DCE929A"/>
    <w:lvl w:ilvl="0">
      <w:start w:val="1"/>
      <w:numFmt w:val="decimal"/>
      <w:lvlText w:val="Principle %1."/>
      <w:lvlJc w:val="left"/>
      <w:pPr>
        <w:ind w:left="1800" w:firstLine="1080"/>
      </w:pPr>
    </w:lvl>
    <w:lvl w:ilvl="1">
      <w:start w:val="1"/>
      <w:numFmt w:val="lowerLetter"/>
      <w:lvlText w:val="%2."/>
      <w:lvlJc w:val="left"/>
      <w:pPr>
        <w:ind w:left="2520" w:firstLine="1800"/>
      </w:pPr>
    </w:lvl>
    <w:lvl w:ilvl="2">
      <w:start w:val="1"/>
      <w:numFmt w:val="lowerRoman"/>
      <w:lvlText w:val="%3."/>
      <w:lvlJc w:val="right"/>
      <w:pPr>
        <w:ind w:left="3240" w:firstLine="2700"/>
      </w:pPr>
    </w:lvl>
    <w:lvl w:ilvl="3">
      <w:start w:val="1"/>
      <w:numFmt w:val="decimal"/>
      <w:lvlText w:val="%4."/>
      <w:lvlJc w:val="left"/>
      <w:pPr>
        <w:ind w:left="3960" w:firstLine="3240"/>
      </w:pPr>
    </w:lvl>
    <w:lvl w:ilvl="4">
      <w:start w:val="1"/>
      <w:numFmt w:val="lowerLetter"/>
      <w:lvlText w:val="%5."/>
      <w:lvlJc w:val="left"/>
      <w:pPr>
        <w:ind w:left="4680" w:firstLine="3960"/>
      </w:pPr>
    </w:lvl>
    <w:lvl w:ilvl="5">
      <w:start w:val="1"/>
      <w:numFmt w:val="lowerRoman"/>
      <w:lvlText w:val="%6."/>
      <w:lvlJc w:val="right"/>
      <w:pPr>
        <w:ind w:left="5400" w:firstLine="4860"/>
      </w:pPr>
    </w:lvl>
    <w:lvl w:ilvl="6">
      <w:start w:val="1"/>
      <w:numFmt w:val="decimal"/>
      <w:lvlText w:val="%7."/>
      <w:lvlJc w:val="left"/>
      <w:pPr>
        <w:ind w:left="6120" w:firstLine="5400"/>
      </w:pPr>
    </w:lvl>
    <w:lvl w:ilvl="7">
      <w:start w:val="1"/>
      <w:numFmt w:val="lowerLetter"/>
      <w:lvlText w:val="%8."/>
      <w:lvlJc w:val="left"/>
      <w:pPr>
        <w:ind w:left="6840" w:firstLine="6120"/>
      </w:pPr>
    </w:lvl>
    <w:lvl w:ilvl="8">
      <w:start w:val="1"/>
      <w:numFmt w:val="lowerRoman"/>
      <w:lvlText w:val="%9."/>
      <w:lvlJc w:val="right"/>
      <w:pPr>
        <w:ind w:left="7560" w:firstLine="7020"/>
      </w:pPr>
    </w:lvl>
  </w:abstractNum>
  <w:abstractNum w:abstractNumId="14" w15:restartNumberingAfterBreak="0">
    <w:nsid w:val="5BD95A7E"/>
    <w:multiLevelType w:val="multilevel"/>
    <w:tmpl w:val="DA66F7B6"/>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5" w15:restartNumberingAfterBreak="0">
    <w:nsid w:val="67876B63"/>
    <w:multiLevelType w:val="multilevel"/>
    <w:tmpl w:val="20DAD6BA"/>
    <w:lvl w:ilvl="0">
      <w:start w:val="1"/>
      <w:numFmt w:val="bullet"/>
      <w:lvlText w:val=""/>
      <w:lvlJc w:val="left"/>
      <w:pPr>
        <w:ind w:left="1800" w:firstLine="1440"/>
      </w:pPr>
      <w:rPr>
        <w:rFonts w:ascii="Wingdings" w:hAnsi="Wingdings" w:hint="default"/>
        <w:color w:val="auto"/>
        <w:sz w:val="18"/>
        <w:szCs w:val="22"/>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6" w15:restartNumberingAfterBreak="0">
    <w:nsid w:val="70762965"/>
    <w:multiLevelType w:val="hybridMultilevel"/>
    <w:tmpl w:val="65D28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CD225F"/>
    <w:multiLevelType w:val="hybridMultilevel"/>
    <w:tmpl w:val="7446FB34"/>
    <w:lvl w:ilvl="0" w:tplc="B2F628A4">
      <w:start w:val="1"/>
      <w:numFmt w:val="lowerLetter"/>
      <w:lvlText w:val="%1)"/>
      <w:lvlJc w:val="left"/>
      <w:pPr>
        <w:ind w:left="1620" w:hanging="360"/>
      </w:pPr>
      <w:rPr>
        <w:rFonts w:ascii="Arial" w:hAnsi="Arial"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209340998">
    <w:abstractNumId w:val="14"/>
  </w:num>
  <w:num w:numId="2" w16cid:durableId="104231291">
    <w:abstractNumId w:val="13"/>
  </w:num>
  <w:num w:numId="3" w16cid:durableId="2089303054">
    <w:abstractNumId w:val="10"/>
  </w:num>
  <w:num w:numId="4" w16cid:durableId="962493843">
    <w:abstractNumId w:val="8"/>
  </w:num>
  <w:num w:numId="5" w16cid:durableId="114253509">
    <w:abstractNumId w:val="11"/>
  </w:num>
  <w:num w:numId="6" w16cid:durableId="2045786319">
    <w:abstractNumId w:val="7"/>
  </w:num>
  <w:num w:numId="7" w16cid:durableId="1996302331">
    <w:abstractNumId w:val="3"/>
  </w:num>
  <w:num w:numId="8" w16cid:durableId="777913271">
    <w:abstractNumId w:val="4"/>
  </w:num>
  <w:num w:numId="9" w16cid:durableId="244652315">
    <w:abstractNumId w:val="2"/>
  </w:num>
  <w:num w:numId="10" w16cid:durableId="24255442">
    <w:abstractNumId w:val="16"/>
  </w:num>
  <w:num w:numId="11" w16cid:durableId="1099957711">
    <w:abstractNumId w:val="15"/>
  </w:num>
  <w:num w:numId="12" w16cid:durableId="1708018030">
    <w:abstractNumId w:val="0"/>
  </w:num>
  <w:num w:numId="13" w16cid:durableId="73358302">
    <w:abstractNumId w:val="6"/>
  </w:num>
  <w:num w:numId="14" w16cid:durableId="1514911">
    <w:abstractNumId w:val="9"/>
  </w:num>
  <w:num w:numId="15" w16cid:durableId="1649089794">
    <w:abstractNumId w:val="5"/>
  </w:num>
  <w:num w:numId="16" w16cid:durableId="2021617210">
    <w:abstractNumId w:val="1"/>
  </w:num>
  <w:num w:numId="17" w16cid:durableId="1487748919">
    <w:abstractNumId w:val="17"/>
  </w:num>
  <w:num w:numId="18" w16cid:durableId="1678192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A6"/>
    <w:rsid w:val="00002351"/>
    <w:rsid w:val="00041BF2"/>
    <w:rsid w:val="0004686D"/>
    <w:rsid w:val="00056116"/>
    <w:rsid w:val="00086642"/>
    <w:rsid w:val="000A031E"/>
    <w:rsid w:val="000A2E52"/>
    <w:rsid w:val="000A3D68"/>
    <w:rsid w:val="000F43A9"/>
    <w:rsid w:val="001466D1"/>
    <w:rsid w:val="001509F3"/>
    <w:rsid w:val="0016254C"/>
    <w:rsid w:val="001709CA"/>
    <w:rsid w:val="001A0197"/>
    <w:rsid w:val="001D216C"/>
    <w:rsid w:val="001D5A47"/>
    <w:rsid w:val="001E5376"/>
    <w:rsid w:val="00231D97"/>
    <w:rsid w:val="00246504"/>
    <w:rsid w:val="00247435"/>
    <w:rsid w:val="00252F70"/>
    <w:rsid w:val="00271776"/>
    <w:rsid w:val="00273230"/>
    <w:rsid w:val="002771A9"/>
    <w:rsid w:val="002A61DF"/>
    <w:rsid w:val="002B5B1D"/>
    <w:rsid w:val="002D1B2A"/>
    <w:rsid w:val="002E513F"/>
    <w:rsid w:val="002F29BB"/>
    <w:rsid w:val="00324C67"/>
    <w:rsid w:val="0032512D"/>
    <w:rsid w:val="00352A55"/>
    <w:rsid w:val="00355FCC"/>
    <w:rsid w:val="0036350F"/>
    <w:rsid w:val="00374249"/>
    <w:rsid w:val="00374ECE"/>
    <w:rsid w:val="00374FB4"/>
    <w:rsid w:val="0039654A"/>
    <w:rsid w:val="003A7878"/>
    <w:rsid w:val="003D6F9F"/>
    <w:rsid w:val="003F5EF4"/>
    <w:rsid w:val="00421093"/>
    <w:rsid w:val="00441498"/>
    <w:rsid w:val="00453290"/>
    <w:rsid w:val="0046229B"/>
    <w:rsid w:val="00487763"/>
    <w:rsid w:val="004B252D"/>
    <w:rsid w:val="004B3B5E"/>
    <w:rsid w:val="004B4E2A"/>
    <w:rsid w:val="004E1599"/>
    <w:rsid w:val="004E655C"/>
    <w:rsid w:val="0050037D"/>
    <w:rsid w:val="00533279"/>
    <w:rsid w:val="005634B7"/>
    <w:rsid w:val="0056732B"/>
    <w:rsid w:val="00586E0A"/>
    <w:rsid w:val="00595AFD"/>
    <w:rsid w:val="005B08DC"/>
    <w:rsid w:val="005B7AF9"/>
    <w:rsid w:val="005C688D"/>
    <w:rsid w:val="005E00B7"/>
    <w:rsid w:val="005E0932"/>
    <w:rsid w:val="005E240F"/>
    <w:rsid w:val="005E2697"/>
    <w:rsid w:val="006125E2"/>
    <w:rsid w:val="00617BA6"/>
    <w:rsid w:val="00621217"/>
    <w:rsid w:val="0063740D"/>
    <w:rsid w:val="00643EA2"/>
    <w:rsid w:val="00673207"/>
    <w:rsid w:val="00677498"/>
    <w:rsid w:val="0068048A"/>
    <w:rsid w:val="0068270B"/>
    <w:rsid w:val="006A696B"/>
    <w:rsid w:val="006B3FEF"/>
    <w:rsid w:val="006D2322"/>
    <w:rsid w:val="006D3B4B"/>
    <w:rsid w:val="00715597"/>
    <w:rsid w:val="007326DD"/>
    <w:rsid w:val="00733EDA"/>
    <w:rsid w:val="0077411C"/>
    <w:rsid w:val="007756E7"/>
    <w:rsid w:val="00775C12"/>
    <w:rsid w:val="00777A39"/>
    <w:rsid w:val="00782815"/>
    <w:rsid w:val="007834F0"/>
    <w:rsid w:val="00796C81"/>
    <w:rsid w:val="007A09B2"/>
    <w:rsid w:val="007C3493"/>
    <w:rsid w:val="007C4051"/>
    <w:rsid w:val="007C5C40"/>
    <w:rsid w:val="007D7AC9"/>
    <w:rsid w:val="007E7842"/>
    <w:rsid w:val="007F64F4"/>
    <w:rsid w:val="007F7475"/>
    <w:rsid w:val="00810B65"/>
    <w:rsid w:val="00817ACA"/>
    <w:rsid w:val="00826C4E"/>
    <w:rsid w:val="00844AF2"/>
    <w:rsid w:val="00862457"/>
    <w:rsid w:val="00866CE9"/>
    <w:rsid w:val="0087129D"/>
    <w:rsid w:val="00896D0E"/>
    <w:rsid w:val="008C631B"/>
    <w:rsid w:val="008D437E"/>
    <w:rsid w:val="008E1192"/>
    <w:rsid w:val="008E7807"/>
    <w:rsid w:val="0091439C"/>
    <w:rsid w:val="00916BDD"/>
    <w:rsid w:val="009329C0"/>
    <w:rsid w:val="009655AF"/>
    <w:rsid w:val="009870C7"/>
    <w:rsid w:val="009A23E1"/>
    <w:rsid w:val="009C6BE3"/>
    <w:rsid w:val="009D536E"/>
    <w:rsid w:val="009D6DEB"/>
    <w:rsid w:val="009F5976"/>
    <w:rsid w:val="00A224DD"/>
    <w:rsid w:val="00A30FB1"/>
    <w:rsid w:val="00A40CC9"/>
    <w:rsid w:val="00A52FEC"/>
    <w:rsid w:val="00A9092A"/>
    <w:rsid w:val="00AA5CBD"/>
    <w:rsid w:val="00AA7E45"/>
    <w:rsid w:val="00AB2CD8"/>
    <w:rsid w:val="00AB3A67"/>
    <w:rsid w:val="00AB5652"/>
    <w:rsid w:val="00AC0A57"/>
    <w:rsid w:val="00AD2628"/>
    <w:rsid w:val="00AD6024"/>
    <w:rsid w:val="00B21716"/>
    <w:rsid w:val="00B268B2"/>
    <w:rsid w:val="00B34B98"/>
    <w:rsid w:val="00B63D9E"/>
    <w:rsid w:val="00B6512D"/>
    <w:rsid w:val="00B66C59"/>
    <w:rsid w:val="00B92124"/>
    <w:rsid w:val="00BD4543"/>
    <w:rsid w:val="00BE19EB"/>
    <w:rsid w:val="00BF204D"/>
    <w:rsid w:val="00BF7552"/>
    <w:rsid w:val="00C062F4"/>
    <w:rsid w:val="00C07015"/>
    <w:rsid w:val="00C82CD2"/>
    <w:rsid w:val="00CC4BA6"/>
    <w:rsid w:val="00CE5C3F"/>
    <w:rsid w:val="00D02BE3"/>
    <w:rsid w:val="00D141B4"/>
    <w:rsid w:val="00D60B4D"/>
    <w:rsid w:val="00D76BF1"/>
    <w:rsid w:val="00D97372"/>
    <w:rsid w:val="00DA1A47"/>
    <w:rsid w:val="00DA57D0"/>
    <w:rsid w:val="00DD6A57"/>
    <w:rsid w:val="00E27F46"/>
    <w:rsid w:val="00E322DE"/>
    <w:rsid w:val="00E46FB5"/>
    <w:rsid w:val="00E57A5F"/>
    <w:rsid w:val="00E8737A"/>
    <w:rsid w:val="00ED4276"/>
    <w:rsid w:val="00ED7524"/>
    <w:rsid w:val="00EE2C28"/>
    <w:rsid w:val="00F11EA7"/>
    <w:rsid w:val="00F16FA6"/>
    <w:rsid w:val="00F2317A"/>
    <w:rsid w:val="00F56426"/>
    <w:rsid w:val="00F60402"/>
    <w:rsid w:val="00F745CD"/>
    <w:rsid w:val="00F924B5"/>
    <w:rsid w:val="00FD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4E598"/>
  <w15:docId w15:val="{EA998E81-3E0F-4713-A458-2A40EE5B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Arial" w:eastAsia="Arial" w:hAnsi="Arial" w:cs="Arial"/>
      <w:b/>
      <w:color w:val="7CBD31"/>
      <w:sz w:val="32"/>
      <w:szCs w:val="32"/>
    </w:rPr>
  </w:style>
  <w:style w:type="paragraph" w:styleId="Heading2">
    <w:name w:val="heading 2"/>
    <w:basedOn w:val="Normal"/>
    <w:next w:val="Normal"/>
    <w:pPr>
      <w:keepNext/>
      <w:keepLines/>
      <w:spacing w:before="200"/>
      <w:outlineLvl w:val="1"/>
    </w:pPr>
    <w:rPr>
      <w:i/>
      <w:color w:val="473931"/>
      <w:sz w:val="28"/>
      <w:szCs w:val="28"/>
    </w:rPr>
  </w:style>
  <w:style w:type="paragraph" w:styleId="Heading3">
    <w:name w:val="heading 3"/>
    <w:basedOn w:val="Normal"/>
    <w:next w:val="Normal"/>
    <w:pPr>
      <w:keepNext/>
      <w:keepLines/>
      <w:spacing w:before="200"/>
      <w:outlineLvl w:val="2"/>
    </w:pPr>
    <w:rPr>
      <w:b/>
      <w:color w:val="E5891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D97372"/>
    <w:pPr>
      <w:ind w:left="720"/>
      <w:contextualSpacing/>
    </w:pPr>
  </w:style>
  <w:style w:type="paragraph" w:styleId="BalloonText">
    <w:name w:val="Balloon Text"/>
    <w:basedOn w:val="Normal"/>
    <w:link w:val="BalloonTextChar"/>
    <w:uiPriority w:val="99"/>
    <w:semiHidden/>
    <w:unhideWhenUsed/>
    <w:rsid w:val="007A0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9B2"/>
    <w:rPr>
      <w:rFonts w:ascii="Segoe UI" w:hAnsi="Segoe UI" w:cs="Segoe UI"/>
      <w:sz w:val="18"/>
      <w:szCs w:val="18"/>
    </w:rPr>
  </w:style>
  <w:style w:type="character" w:styleId="CommentReference">
    <w:name w:val="annotation reference"/>
    <w:basedOn w:val="DefaultParagraphFont"/>
    <w:uiPriority w:val="99"/>
    <w:semiHidden/>
    <w:unhideWhenUsed/>
    <w:rsid w:val="004E655C"/>
    <w:rPr>
      <w:sz w:val="16"/>
      <w:szCs w:val="16"/>
    </w:rPr>
  </w:style>
  <w:style w:type="paragraph" w:styleId="CommentText">
    <w:name w:val="annotation text"/>
    <w:basedOn w:val="Normal"/>
    <w:link w:val="CommentTextChar"/>
    <w:uiPriority w:val="99"/>
    <w:semiHidden/>
    <w:unhideWhenUsed/>
    <w:rsid w:val="004E655C"/>
    <w:rPr>
      <w:sz w:val="20"/>
      <w:szCs w:val="20"/>
    </w:rPr>
  </w:style>
  <w:style w:type="character" w:customStyle="1" w:styleId="CommentTextChar">
    <w:name w:val="Comment Text Char"/>
    <w:basedOn w:val="DefaultParagraphFont"/>
    <w:link w:val="CommentText"/>
    <w:uiPriority w:val="99"/>
    <w:semiHidden/>
    <w:rsid w:val="004E655C"/>
    <w:rPr>
      <w:sz w:val="20"/>
      <w:szCs w:val="20"/>
    </w:rPr>
  </w:style>
  <w:style w:type="paragraph" w:styleId="CommentSubject">
    <w:name w:val="annotation subject"/>
    <w:basedOn w:val="CommentText"/>
    <w:next w:val="CommentText"/>
    <w:link w:val="CommentSubjectChar"/>
    <w:uiPriority w:val="99"/>
    <w:semiHidden/>
    <w:unhideWhenUsed/>
    <w:rsid w:val="004E655C"/>
    <w:rPr>
      <w:b/>
      <w:bCs/>
    </w:rPr>
  </w:style>
  <w:style w:type="character" w:customStyle="1" w:styleId="CommentSubjectChar">
    <w:name w:val="Comment Subject Char"/>
    <w:basedOn w:val="CommentTextChar"/>
    <w:link w:val="CommentSubject"/>
    <w:uiPriority w:val="99"/>
    <w:semiHidden/>
    <w:rsid w:val="004E655C"/>
    <w:rPr>
      <w:b/>
      <w:bCs/>
      <w:sz w:val="20"/>
      <w:szCs w:val="20"/>
    </w:rPr>
  </w:style>
  <w:style w:type="paragraph" w:styleId="Header">
    <w:name w:val="header"/>
    <w:basedOn w:val="Normal"/>
    <w:link w:val="HeaderChar"/>
    <w:uiPriority w:val="99"/>
    <w:unhideWhenUsed/>
    <w:rsid w:val="00374FB4"/>
    <w:pPr>
      <w:tabs>
        <w:tab w:val="center" w:pos="4680"/>
        <w:tab w:val="right" w:pos="9360"/>
      </w:tabs>
    </w:pPr>
  </w:style>
  <w:style w:type="character" w:customStyle="1" w:styleId="HeaderChar">
    <w:name w:val="Header Char"/>
    <w:basedOn w:val="DefaultParagraphFont"/>
    <w:link w:val="Header"/>
    <w:uiPriority w:val="99"/>
    <w:rsid w:val="00374FB4"/>
  </w:style>
  <w:style w:type="paragraph" w:styleId="Footer">
    <w:name w:val="footer"/>
    <w:basedOn w:val="Normal"/>
    <w:link w:val="FooterChar"/>
    <w:uiPriority w:val="99"/>
    <w:unhideWhenUsed/>
    <w:rsid w:val="00374FB4"/>
    <w:pPr>
      <w:tabs>
        <w:tab w:val="center" w:pos="4680"/>
        <w:tab w:val="right" w:pos="9360"/>
      </w:tabs>
    </w:pPr>
  </w:style>
  <w:style w:type="character" w:customStyle="1" w:styleId="FooterChar">
    <w:name w:val="Footer Char"/>
    <w:basedOn w:val="DefaultParagraphFont"/>
    <w:link w:val="Footer"/>
    <w:uiPriority w:val="99"/>
    <w:rsid w:val="00374FB4"/>
  </w:style>
  <w:style w:type="paragraph" w:styleId="TOC1">
    <w:name w:val="toc 1"/>
    <w:basedOn w:val="Normal"/>
    <w:next w:val="Normal"/>
    <w:autoRedefine/>
    <w:uiPriority w:val="39"/>
    <w:unhideWhenUsed/>
    <w:rsid w:val="00487763"/>
    <w:pPr>
      <w:tabs>
        <w:tab w:val="left" w:pos="660"/>
        <w:tab w:val="right" w:pos="9962"/>
      </w:tabs>
      <w:spacing w:after="100"/>
    </w:pPr>
    <w:rPr>
      <w:rFonts w:ascii="Arial" w:hAnsi="Arial"/>
    </w:rPr>
  </w:style>
  <w:style w:type="character" w:styleId="Hyperlink">
    <w:name w:val="Hyperlink"/>
    <w:basedOn w:val="DefaultParagraphFont"/>
    <w:uiPriority w:val="99"/>
    <w:unhideWhenUsed/>
    <w:rsid w:val="00352A55"/>
    <w:rPr>
      <w:color w:val="0563C1" w:themeColor="hyperlink"/>
      <w:u w:val="single"/>
    </w:rPr>
  </w:style>
  <w:style w:type="paragraph" w:styleId="Revision">
    <w:name w:val="Revision"/>
    <w:hidden/>
    <w:uiPriority w:val="99"/>
    <w:semiHidden/>
    <w:rsid w:val="00B63D9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43876">
      <w:bodyDiv w:val="1"/>
      <w:marLeft w:val="0"/>
      <w:marRight w:val="0"/>
      <w:marTop w:val="0"/>
      <w:marBottom w:val="0"/>
      <w:divBdr>
        <w:top w:val="none" w:sz="0" w:space="0" w:color="auto"/>
        <w:left w:val="none" w:sz="0" w:space="0" w:color="auto"/>
        <w:bottom w:val="none" w:sz="0" w:space="0" w:color="auto"/>
        <w:right w:val="none" w:sz="0" w:space="0" w:color="auto"/>
      </w:divBdr>
      <w:divsChild>
        <w:div w:id="75786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705116">
              <w:marLeft w:val="0"/>
              <w:marRight w:val="0"/>
              <w:marTop w:val="0"/>
              <w:marBottom w:val="0"/>
              <w:divBdr>
                <w:top w:val="none" w:sz="0" w:space="0" w:color="auto"/>
                <w:left w:val="none" w:sz="0" w:space="0" w:color="auto"/>
                <w:bottom w:val="none" w:sz="0" w:space="0" w:color="auto"/>
                <w:right w:val="none" w:sz="0" w:space="0" w:color="auto"/>
              </w:divBdr>
              <w:divsChild>
                <w:div w:id="6171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OMERS</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Whelan</dc:creator>
  <cp:lastModifiedBy>Dayle Whittaker</cp:lastModifiedBy>
  <cp:revision>2</cp:revision>
  <cp:lastPrinted>2019-03-07T14:58:00Z</cp:lastPrinted>
  <dcterms:created xsi:type="dcterms:W3CDTF">2024-03-07T16:27:00Z</dcterms:created>
  <dcterms:modified xsi:type="dcterms:W3CDTF">2024-03-07T16:27:00Z</dcterms:modified>
</cp:coreProperties>
</file>