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E33452" w14:textId="77777777" w:rsidR="00CC4BA6" w:rsidRDefault="00CC4BA6">
      <w:pPr>
        <w:rPr>
          <w:rFonts w:ascii="Arial" w:eastAsia="Arial" w:hAnsi="Arial" w:cs="Arial"/>
        </w:rPr>
      </w:pPr>
    </w:p>
    <w:p w14:paraId="3B5AE9BB" w14:textId="77777777" w:rsidR="00CC4BA6" w:rsidRDefault="00CC4BA6">
      <w:pPr>
        <w:rPr>
          <w:rFonts w:ascii="Arial" w:eastAsia="Arial" w:hAnsi="Arial" w:cs="Arial"/>
        </w:rPr>
      </w:pPr>
    </w:p>
    <w:p w14:paraId="29C590C3" w14:textId="77777777" w:rsidR="00CC4BA6" w:rsidRDefault="00CC4BA6">
      <w:pPr>
        <w:rPr>
          <w:rFonts w:ascii="Arial" w:eastAsia="Arial" w:hAnsi="Arial" w:cs="Arial"/>
        </w:rPr>
      </w:pPr>
    </w:p>
    <w:p w14:paraId="1B4F5CE9" w14:textId="77777777" w:rsidR="00CC4BA6" w:rsidRDefault="00CC4BA6">
      <w:pPr>
        <w:pStyle w:val="Heading1"/>
        <w:jc w:val="center"/>
        <w:rPr>
          <w:color w:val="000000"/>
        </w:rPr>
      </w:pPr>
    </w:p>
    <w:p w14:paraId="4EAC28D7" w14:textId="77777777" w:rsidR="00CC4BA6" w:rsidRDefault="00CC4BA6" w:rsidP="009D536E">
      <w:pPr>
        <w:pStyle w:val="Heading1"/>
        <w:jc w:val="center"/>
        <w:rPr>
          <w:color w:val="000000"/>
        </w:rPr>
      </w:pPr>
    </w:p>
    <w:p w14:paraId="3DA7A3E9" w14:textId="11E14122" w:rsidR="00CC4BA6" w:rsidRDefault="009D536E" w:rsidP="009D536E">
      <w:pPr>
        <w:pStyle w:val="Heading1"/>
        <w:jc w:val="center"/>
        <w:rPr>
          <w:color w:val="000000"/>
        </w:rPr>
      </w:pPr>
      <w:bookmarkStart w:id="0" w:name="_Toc68781242"/>
      <w:bookmarkStart w:id="1" w:name="_Toc68950159"/>
      <w:r w:rsidRPr="00667A6E">
        <w:rPr>
          <w:rFonts w:eastAsia="Times New Roman"/>
          <w:noProof/>
          <w:color w:val="222222"/>
          <w:sz w:val="22"/>
          <w:lang w:val="en-CA" w:eastAsia="en-CA"/>
        </w:rPr>
        <w:drawing>
          <wp:inline distT="0" distB="0" distL="0" distR="0" wp14:anchorId="098C6B74" wp14:editId="604E5CA2">
            <wp:extent cx="1296063" cy="1017270"/>
            <wp:effectExtent l="0" t="0" r="0" b="0"/>
            <wp:docPr id="1" name="Picture 1" descr="FINAL_OSSTF BENEFITS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OSSTF BENEFITS_LOGO (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6831" cy="1025722"/>
                    </a:xfrm>
                    <a:prstGeom prst="rect">
                      <a:avLst/>
                    </a:prstGeom>
                    <a:noFill/>
                    <a:ln>
                      <a:noFill/>
                    </a:ln>
                  </pic:spPr>
                </pic:pic>
              </a:graphicData>
            </a:graphic>
          </wp:inline>
        </w:drawing>
      </w:r>
      <w:bookmarkEnd w:id="0"/>
      <w:bookmarkEnd w:id="1"/>
    </w:p>
    <w:p w14:paraId="7FAAB47C" w14:textId="77777777" w:rsidR="009D536E" w:rsidRDefault="009D536E" w:rsidP="009D536E">
      <w:pPr>
        <w:jc w:val="center"/>
        <w:rPr>
          <w:rFonts w:ascii="Arial" w:eastAsia="Arial" w:hAnsi="Arial" w:cs="Arial"/>
          <w:b/>
          <w:sz w:val="44"/>
          <w:szCs w:val="40"/>
        </w:rPr>
      </w:pPr>
    </w:p>
    <w:p w14:paraId="34F50572" w14:textId="77777777" w:rsidR="009D536E" w:rsidRPr="00FE1742" w:rsidRDefault="009D536E" w:rsidP="009D536E">
      <w:pPr>
        <w:jc w:val="center"/>
        <w:rPr>
          <w:rFonts w:ascii="Arial" w:eastAsia="Arial" w:hAnsi="Arial" w:cs="Arial"/>
          <w:b/>
          <w:sz w:val="44"/>
          <w:szCs w:val="40"/>
          <w:lang w:val="fr-CA"/>
        </w:rPr>
      </w:pPr>
    </w:p>
    <w:p w14:paraId="6347F962" w14:textId="4946F843" w:rsidR="00CC4BA6" w:rsidRPr="00FE1742" w:rsidRDefault="001466D1" w:rsidP="009D536E">
      <w:pPr>
        <w:jc w:val="center"/>
        <w:rPr>
          <w:rFonts w:ascii="Arial" w:eastAsia="Arial" w:hAnsi="Arial" w:cs="Arial"/>
          <w:b/>
          <w:sz w:val="44"/>
          <w:szCs w:val="40"/>
          <w:lang w:val="fr-CA"/>
        </w:rPr>
      </w:pPr>
      <w:r w:rsidRPr="00FE1742">
        <w:rPr>
          <w:rFonts w:ascii="Arial" w:eastAsia="Arial" w:hAnsi="Arial" w:cs="Arial"/>
          <w:b/>
          <w:sz w:val="44"/>
          <w:szCs w:val="40"/>
          <w:lang w:val="fr-CA"/>
        </w:rPr>
        <w:t>Poli</w:t>
      </w:r>
      <w:r w:rsidR="00FE1742">
        <w:rPr>
          <w:rFonts w:ascii="Arial" w:eastAsia="Arial" w:hAnsi="Arial" w:cs="Arial"/>
          <w:b/>
          <w:sz w:val="44"/>
          <w:szCs w:val="40"/>
          <w:lang w:val="fr-CA"/>
        </w:rPr>
        <w:t>tique de financement</w:t>
      </w:r>
    </w:p>
    <w:p w14:paraId="382FF49A" w14:textId="77777777" w:rsidR="00CC4BA6" w:rsidRPr="00FE1742" w:rsidRDefault="00CC4BA6" w:rsidP="009D536E">
      <w:pPr>
        <w:jc w:val="center"/>
        <w:rPr>
          <w:rFonts w:ascii="Arial" w:eastAsia="Arial" w:hAnsi="Arial" w:cs="Arial"/>
          <w:lang w:val="fr-CA"/>
        </w:rPr>
      </w:pPr>
    </w:p>
    <w:p w14:paraId="22C7856C" w14:textId="77777777" w:rsidR="00CC4BA6" w:rsidRPr="00FE1742" w:rsidRDefault="00CC4BA6" w:rsidP="009D536E">
      <w:pPr>
        <w:jc w:val="center"/>
        <w:rPr>
          <w:rFonts w:ascii="Arial" w:eastAsia="Arial" w:hAnsi="Arial" w:cs="Arial"/>
          <w:lang w:val="fr-CA"/>
        </w:rPr>
      </w:pPr>
    </w:p>
    <w:p w14:paraId="5B565307" w14:textId="77777777" w:rsidR="00CC4BA6" w:rsidRPr="00FE1742" w:rsidRDefault="00CC4BA6" w:rsidP="009D536E">
      <w:pPr>
        <w:jc w:val="center"/>
        <w:rPr>
          <w:rFonts w:ascii="Arial" w:eastAsia="Arial" w:hAnsi="Arial" w:cs="Arial"/>
          <w:b/>
          <w:sz w:val="32"/>
          <w:szCs w:val="32"/>
          <w:lang w:val="fr-CA"/>
        </w:rPr>
      </w:pPr>
    </w:p>
    <w:p w14:paraId="42AEF8BB" w14:textId="6E68FCA4" w:rsidR="00FE1742" w:rsidRDefault="00FE1742" w:rsidP="009D536E">
      <w:pPr>
        <w:spacing w:after="120"/>
        <w:jc w:val="center"/>
        <w:rPr>
          <w:rFonts w:ascii="Arial" w:eastAsia="Arial" w:hAnsi="Arial" w:cs="Arial"/>
          <w:b/>
          <w:sz w:val="32"/>
          <w:szCs w:val="32"/>
          <w:lang w:val="fr-CA"/>
        </w:rPr>
      </w:pPr>
      <w:r>
        <w:rPr>
          <w:rFonts w:ascii="Arial" w:eastAsia="Arial" w:hAnsi="Arial" w:cs="Arial"/>
          <w:b/>
          <w:sz w:val="32"/>
          <w:szCs w:val="32"/>
          <w:lang w:val="fr-CA"/>
        </w:rPr>
        <w:t xml:space="preserve">Fiducie de soins de santé au </w:t>
      </w:r>
      <w:r w:rsidR="007A748B">
        <w:rPr>
          <w:rFonts w:ascii="Arial" w:eastAsia="Arial" w:hAnsi="Arial" w:cs="Arial"/>
          <w:b/>
          <w:sz w:val="32"/>
          <w:szCs w:val="32"/>
          <w:lang w:val="fr-CA"/>
        </w:rPr>
        <w:t xml:space="preserve"> </w:t>
      </w:r>
      <w:r>
        <w:rPr>
          <w:rFonts w:ascii="Arial" w:eastAsia="Arial" w:hAnsi="Arial" w:cs="Arial"/>
          <w:b/>
          <w:sz w:val="32"/>
          <w:szCs w:val="32"/>
          <w:lang w:val="fr-CA"/>
        </w:rPr>
        <w:t xml:space="preserve"> d’employés de la Fédération des enseignantes-enseignants des écoles secondaires de l’Ontario (OSSTF/FEESO) </w:t>
      </w:r>
    </w:p>
    <w:p w14:paraId="00DF62EA" w14:textId="77777777" w:rsidR="00CC4BA6" w:rsidRPr="00FE1742" w:rsidRDefault="00CC4BA6" w:rsidP="009D536E">
      <w:pPr>
        <w:jc w:val="center"/>
        <w:rPr>
          <w:rFonts w:ascii="Arial" w:eastAsia="Arial" w:hAnsi="Arial" w:cs="Arial"/>
          <w:b/>
          <w:sz w:val="32"/>
          <w:szCs w:val="32"/>
          <w:lang w:val="fr-CA"/>
        </w:rPr>
      </w:pPr>
    </w:p>
    <w:p w14:paraId="14E26887" w14:textId="77777777" w:rsidR="00CC4BA6" w:rsidRPr="00FE1742" w:rsidRDefault="00CC4BA6" w:rsidP="009D536E">
      <w:pPr>
        <w:jc w:val="center"/>
        <w:rPr>
          <w:rFonts w:ascii="Arial" w:eastAsia="Arial" w:hAnsi="Arial" w:cs="Arial"/>
          <w:b/>
          <w:sz w:val="32"/>
          <w:szCs w:val="32"/>
          <w:lang w:val="fr-CA"/>
        </w:rPr>
      </w:pPr>
    </w:p>
    <w:p w14:paraId="4CD0BB64" w14:textId="77777777" w:rsidR="00CC4BA6" w:rsidRPr="00FE1742" w:rsidRDefault="00CC4BA6" w:rsidP="009D536E">
      <w:pPr>
        <w:jc w:val="center"/>
        <w:rPr>
          <w:rFonts w:ascii="Arial" w:eastAsia="Arial" w:hAnsi="Arial" w:cs="Arial"/>
          <w:b/>
          <w:sz w:val="32"/>
          <w:szCs w:val="32"/>
          <w:lang w:val="fr-CA"/>
        </w:rPr>
      </w:pPr>
    </w:p>
    <w:p w14:paraId="7EB1C114" w14:textId="77777777" w:rsidR="00CC4BA6" w:rsidRPr="00FE1742" w:rsidRDefault="00CC4BA6" w:rsidP="009D536E">
      <w:pPr>
        <w:jc w:val="center"/>
        <w:rPr>
          <w:rFonts w:ascii="Arial" w:eastAsia="Arial" w:hAnsi="Arial" w:cs="Arial"/>
          <w:b/>
          <w:sz w:val="32"/>
          <w:szCs w:val="32"/>
          <w:lang w:val="fr-CA"/>
        </w:rPr>
      </w:pPr>
    </w:p>
    <w:p w14:paraId="04492B62" w14:textId="77777777" w:rsidR="00CC4BA6" w:rsidRPr="00FE1742" w:rsidRDefault="00CC4BA6" w:rsidP="009D536E">
      <w:pPr>
        <w:jc w:val="center"/>
        <w:rPr>
          <w:rFonts w:ascii="Arial" w:eastAsia="Arial" w:hAnsi="Arial" w:cs="Arial"/>
          <w:b/>
          <w:sz w:val="32"/>
          <w:szCs w:val="32"/>
          <w:lang w:val="fr-CA"/>
        </w:rPr>
      </w:pPr>
    </w:p>
    <w:tbl>
      <w:tblPr>
        <w:tblStyle w:val="a"/>
        <w:tblW w:w="5733" w:type="dxa"/>
        <w:jc w:val="center"/>
        <w:tblBorders>
          <w:top w:val="nil"/>
          <w:left w:val="nil"/>
          <w:bottom w:val="nil"/>
          <w:right w:val="nil"/>
          <w:insideH w:val="nil"/>
          <w:insideV w:val="nil"/>
        </w:tblBorders>
        <w:tblLayout w:type="fixed"/>
        <w:tblLook w:val="0400" w:firstRow="0" w:lastRow="0" w:firstColumn="0" w:lastColumn="0" w:noHBand="0" w:noVBand="1"/>
      </w:tblPr>
      <w:tblGrid>
        <w:gridCol w:w="3033"/>
        <w:gridCol w:w="2700"/>
      </w:tblGrid>
      <w:tr w:rsidR="00CC4BA6" w:rsidRPr="00FE1742" w14:paraId="0D9FB614" w14:textId="77777777" w:rsidTr="00FE1742">
        <w:trPr>
          <w:jc w:val="center"/>
        </w:trPr>
        <w:tc>
          <w:tcPr>
            <w:tcW w:w="3033" w:type="dxa"/>
          </w:tcPr>
          <w:p w14:paraId="0611FFAF" w14:textId="2AB3FD5F" w:rsidR="00CC4BA6" w:rsidRPr="00FE1742" w:rsidRDefault="001466D1" w:rsidP="009D536E">
            <w:pPr>
              <w:contextualSpacing w:val="0"/>
              <w:jc w:val="center"/>
              <w:rPr>
                <w:rFonts w:ascii="Arial" w:eastAsia="Arial" w:hAnsi="Arial" w:cs="Arial"/>
                <w:lang w:val="fr-CA"/>
              </w:rPr>
            </w:pPr>
            <w:r w:rsidRPr="00FE1742">
              <w:rPr>
                <w:rFonts w:ascii="Arial" w:eastAsia="Arial" w:hAnsi="Arial" w:cs="Arial"/>
                <w:lang w:val="fr-CA"/>
              </w:rPr>
              <w:t>Date</w:t>
            </w:r>
            <w:r w:rsidR="00FE1742">
              <w:rPr>
                <w:rFonts w:ascii="Arial" w:eastAsia="Arial" w:hAnsi="Arial" w:cs="Arial"/>
                <w:lang w:val="fr-CA"/>
              </w:rPr>
              <w:t xml:space="preserve"> d’entrée en vigueur </w:t>
            </w:r>
            <w:r w:rsidRPr="00FE1742">
              <w:rPr>
                <w:rFonts w:ascii="Arial" w:eastAsia="Arial" w:hAnsi="Arial" w:cs="Arial"/>
                <w:lang w:val="fr-CA"/>
              </w:rPr>
              <w:t>:</w:t>
            </w:r>
          </w:p>
        </w:tc>
        <w:tc>
          <w:tcPr>
            <w:tcW w:w="2700" w:type="dxa"/>
          </w:tcPr>
          <w:p w14:paraId="7B8A8F13" w14:textId="54412FCF" w:rsidR="0068048A" w:rsidRPr="00FE1742" w:rsidRDefault="00AA5CBD" w:rsidP="00FE1742">
            <w:pPr>
              <w:contextualSpacing w:val="0"/>
              <w:jc w:val="center"/>
              <w:rPr>
                <w:rFonts w:ascii="Arial" w:eastAsia="Arial" w:hAnsi="Arial" w:cs="Arial"/>
                <w:lang w:val="fr-CA"/>
              </w:rPr>
            </w:pPr>
            <w:r w:rsidRPr="00FE1742">
              <w:rPr>
                <w:rFonts w:ascii="Arial" w:eastAsia="Arial" w:hAnsi="Arial" w:cs="Arial"/>
                <w:lang w:val="fr-CA"/>
              </w:rPr>
              <w:t>Mar</w:t>
            </w:r>
            <w:r w:rsidR="00FE1742">
              <w:rPr>
                <w:rFonts w:ascii="Arial" w:eastAsia="Arial" w:hAnsi="Arial" w:cs="Arial"/>
                <w:lang w:val="fr-CA"/>
              </w:rPr>
              <w:t>s</w:t>
            </w:r>
            <w:r w:rsidRPr="00FE1742">
              <w:rPr>
                <w:rFonts w:ascii="Arial" w:eastAsia="Arial" w:hAnsi="Arial" w:cs="Arial"/>
                <w:lang w:val="fr-CA"/>
              </w:rPr>
              <w:t xml:space="preserve"> 2021</w:t>
            </w:r>
          </w:p>
        </w:tc>
      </w:tr>
    </w:tbl>
    <w:p w14:paraId="4318DF94" w14:textId="77777777" w:rsidR="00CC4BA6" w:rsidRDefault="00CC4BA6" w:rsidP="009D536E">
      <w:pPr>
        <w:pStyle w:val="Heading3"/>
        <w:spacing w:after="120"/>
        <w:jc w:val="center"/>
        <w:rPr>
          <w:rFonts w:ascii="Arial" w:eastAsia="Arial" w:hAnsi="Arial" w:cs="Arial"/>
          <w:color w:val="000000"/>
        </w:rPr>
      </w:pPr>
    </w:p>
    <w:p w14:paraId="2C460117" w14:textId="77777777" w:rsidR="00CC4BA6" w:rsidRDefault="001466D1">
      <w:r>
        <w:br w:type="page"/>
      </w:r>
    </w:p>
    <w:p w14:paraId="14A49E68" w14:textId="77777777" w:rsidR="00CC4BA6" w:rsidRDefault="00CC4BA6">
      <w:pPr>
        <w:spacing w:line="276" w:lineRule="auto"/>
        <w:rPr>
          <w:rFonts w:ascii="Arial" w:eastAsia="Arial" w:hAnsi="Arial" w:cs="Arial"/>
        </w:rPr>
        <w:sectPr w:rsidR="00CC4BA6">
          <w:headerReference w:type="even" r:id="rId8"/>
          <w:headerReference w:type="default" r:id="rId9"/>
          <w:footerReference w:type="even" r:id="rId10"/>
          <w:footerReference w:type="default" r:id="rId11"/>
          <w:headerReference w:type="first" r:id="rId12"/>
          <w:footerReference w:type="first" r:id="rId13"/>
          <w:pgSz w:w="12240" w:h="15840"/>
          <w:pgMar w:top="1344" w:right="1134" w:bottom="1440" w:left="1134" w:header="0" w:footer="720" w:gutter="0"/>
          <w:pgNumType w:start="1"/>
          <w:cols w:space="720"/>
        </w:sectPr>
      </w:pPr>
    </w:p>
    <w:p w14:paraId="0A5DC776" w14:textId="330B6BDC" w:rsidR="00CC4BA6" w:rsidRPr="00FE1742" w:rsidRDefault="00FE1742" w:rsidP="00D60B4D">
      <w:pPr>
        <w:keepNext/>
        <w:keepLines/>
        <w:tabs>
          <w:tab w:val="left" w:pos="5923"/>
        </w:tabs>
        <w:spacing w:before="480" w:line="276" w:lineRule="auto"/>
        <w:rPr>
          <w:rFonts w:ascii="Arial" w:eastAsia="Arial" w:hAnsi="Arial" w:cs="Arial"/>
          <w:b/>
          <w:sz w:val="32"/>
          <w:szCs w:val="28"/>
          <w:lang w:val="fr-CA"/>
        </w:rPr>
      </w:pPr>
      <w:bookmarkStart w:id="2" w:name="_30j0zll" w:colFirst="0" w:colLast="0"/>
      <w:bookmarkEnd w:id="2"/>
      <w:r w:rsidRPr="00FE1742">
        <w:rPr>
          <w:rFonts w:ascii="Arial" w:eastAsia="Arial" w:hAnsi="Arial" w:cs="Arial"/>
          <w:b/>
          <w:sz w:val="32"/>
          <w:szCs w:val="28"/>
          <w:lang w:val="fr-CA"/>
        </w:rPr>
        <w:lastRenderedPageBreak/>
        <w:t>Table des matières</w:t>
      </w:r>
    </w:p>
    <w:p w14:paraId="4AB9BEE0" w14:textId="77777777" w:rsidR="00586E0A" w:rsidRPr="00586E0A" w:rsidRDefault="00586E0A" w:rsidP="00586E0A">
      <w:pPr>
        <w:keepNext/>
        <w:keepLines/>
        <w:spacing w:line="276" w:lineRule="auto"/>
        <w:rPr>
          <w:rFonts w:ascii="Arial" w:eastAsia="Arial" w:hAnsi="Arial" w:cs="Arial"/>
          <w:b/>
          <w:szCs w:val="28"/>
        </w:rPr>
      </w:pPr>
    </w:p>
    <w:sdt>
      <w:sdtPr>
        <w:rPr>
          <w:rFonts w:cs="Arial"/>
        </w:rPr>
        <w:id w:val="1167598364"/>
        <w:docPartObj>
          <w:docPartGallery w:val="Table of Contents"/>
          <w:docPartUnique/>
        </w:docPartObj>
      </w:sdtPr>
      <w:sdtEndPr/>
      <w:sdtContent>
        <w:p w14:paraId="00DBD881" w14:textId="7AA30935" w:rsidR="00E82593" w:rsidRDefault="00487763">
          <w:pPr>
            <w:pStyle w:val="TOC1"/>
            <w:rPr>
              <w:rFonts w:asciiTheme="minorHAnsi" w:eastAsiaTheme="minorEastAsia" w:hAnsiTheme="minorHAnsi" w:cstheme="minorBidi"/>
              <w:noProof/>
              <w:color w:val="auto"/>
              <w:lang w:val="en-CA" w:eastAsia="en-CA"/>
            </w:rPr>
          </w:pPr>
          <w:r>
            <w:rPr>
              <w:rFonts w:cs="Arial"/>
            </w:rPr>
            <w:fldChar w:fldCharType="begin"/>
          </w:r>
          <w:r>
            <w:rPr>
              <w:rFonts w:cs="Arial"/>
            </w:rPr>
            <w:instrText xml:space="preserve"> TOC \o "1-3" \h \z \u </w:instrText>
          </w:r>
          <w:r>
            <w:rPr>
              <w:rFonts w:cs="Arial"/>
            </w:rPr>
            <w:fldChar w:fldCharType="separate"/>
          </w:r>
          <w:hyperlink w:anchor="_Toc68950159" w:history="1"/>
        </w:p>
        <w:p w14:paraId="0D0D8630" w14:textId="77777777" w:rsidR="00E82593" w:rsidRDefault="002772F5">
          <w:pPr>
            <w:pStyle w:val="TOC1"/>
            <w:rPr>
              <w:rFonts w:asciiTheme="minorHAnsi" w:eastAsiaTheme="minorEastAsia" w:hAnsiTheme="minorHAnsi" w:cstheme="minorBidi"/>
              <w:noProof/>
              <w:color w:val="auto"/>
              <w:lang w:val="en-CA" w:eastAsia="en-CA"/>
            </w:rPr>
          </w:pPr>
          <w:hyperlink w:anchor="_Toc68950160" w:history="1">
            <w:r w:rsidR="00E82593" w:rsidRPr="00BB44B6">
              <w:rPr>
                <w:rStyle w:val="Hyperlink"/>
                <w:noProof/>
              </w:rPr>
              <w:t>1.</w:t>
            </w:r>
            <w:r w:rsidR="00E82593">
              <w:rPr>
                <w:rFonts w:asciiTheme="minorHAnsi" w:eastAsiaTheme="minorEastAsia" w:hAnsiTheme="minorHAnsi" w:cstheme="minorBidi"/>
                <w:noProof/>
                <w:color w:val="auto"/>
                <w:lang w:val="en-CA" w:eastAsia="en-CA"/>
              </w:rPr>
              <w:tab/>
            </w:r>
            <w:r w:rsidR="00E82593" w:rsidRPr="00BB44B6">
              <w:rPr>
                <w:rStyle w:val="Hyperlink"/>
                <w:noProof/>
              </w:rPr>
              <w:t>But</w:t>
            </w:r>
            <w:r w:rsidR="00E82593">
              <w:rPr>
                <w:noProof/>
                <w:webHidden/>
              </w:rPr>
              <w:tab/>
            </w:r>
            <w:r w:rsidR="00E82593">
              <w:rPr>
                <w:noProof/>
                <w:webHidden/>
              </w:rPr>
              <w:fldChar w:fldCharType="begin"/>
            </w:r>
            <w:r w:rsidR="00E82593">
              <w:rPr>
                <w:noProof/>
                <w:webHidden/>
              </w:rPr>
              <w:instrText xml:space="preserve"> PAGEREF _Toc68950160 \h </w:instrText>
            </w:r>
            <w:r w:rsidR="00E82593">
              <w:rPr>
                <w:noProof/>
                <w:webHidden/>
              </w:rPr>
            </w:r>
            <w:r w:rsidR="00E82593">
              <w:rPr>
                <w:noProof/>
                <w:webHidden/>
              </w:rPr>
              <w:fldChar w:fldCharType="separate"/>
            </w:r>
            <w:r w:rsidR="00E82593">
              <w:rPr>
                <w:noProof/>
                <w:webHidden/>
              </w:rPr>
              <w:t>1</w:t>
            </w:r>
            <w:r w:rsidR="00E82593">
              <w:rPr>
                <w:noProof/>
                <w:webHidden/>
              </w:rPr>
              <w:fldChar w:fldCharType="end"/>
            </w:r>
          </w:hyperlink>
        </w:p>
        <w:p w14:paraId="5AE19131" w14:textId="77777777" w:rsidR="00E82593" w:rsidRDefault="002772F5">
          <w:pPr>
            <w:pStyle w:val="TOC1"/>
            <w:rPr>
              <w:rFonts w:asciiTheme="minorHAnsi" w:eastAsiaTheme="minorEastAsia" w:hAnsiTheme="minorHAnsi" w:cstheme="minorBidi"/>
              <w:noProof/>
              <w:color w:val="auto"/>
              <w:lang w:val="en-CA" w:eastAsia="en-CA"/>
            </w:rPr>
          </w:pPr>
          <w:hyperlink w:anchor="_Toc68950161" w:history="1">
            <w:r w:rsidR="00E82593" w:rsidRPr="00BB44B6">
              <w:rPr>
                <w:rStyle w:val="Hyperlink"/>
                <w:noProof/>
                <w:lang w:val="fr-CA"/>
              </w:rPr>
              <w:t>2.</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Considérations en matière de politique</w:t>
            </w:r>
            <w:r w:rsidR="00E82593">
              <w:rPr>
                <w:noProof/>
                <w:webHidden/>
              </w:rPr>
              <w:tab/>
            </w:r>
            <w:r w:rsidR="00E82593">
              <w:rPr>
                <w:noProof/>
                <w:webHidden/>
              </w:rPr>
              <w:fldChar w:fldCharType="begin"/>
            </w:r>
            <w:r w:rsidR="00E82593">
              <w:rPr>
                <w:noProof/>
                <w:webHidden/>
              </w:rPr>
              <w:instrText xml:space="preserve"> PAGEREF _Toc68950161 \h </w:instrText>
            </w:r>
            <w:r w:rsidR="00E82593">
              <w:rPr>
                <w:noProof/>
                <w:webHidden/>
              </w:rPr>
            </w:r>
            <w:r w:rsidR="00E82593">
              <w:rPr>
                <w:noProof/>
                <w:webHidden/>
              </w:rPr>
              <w:fldChar w:fldCharType="separate"/>
            </w:r>
            <w:r w:rsidR="00E82593">
              <w:rPr>
                <w:noProof/>
                <w:webHidden/>
              </w:rPr>
              <w:t>2</w:t>
            </w:r>
            <w:r w:rsidR="00E82593">
              <w:rPr>
                <w:noProof/>
                <w:webHidden/>
              </w:rPr>
              <w:fldChar w:fldCharType="end"/>
            </w:r>
          </w:hyperlink>
        </w:p>
        <w:p w14:paraId="1A8BDB29" w14:textId="77777777" w:rsidR="00E82593" w:rsidRDefault="002772F5">
          <w:pPr>
            <w:pStyle w:val="TOC1"/>
            <w:rPr>
              <w:rFonts w:asciiTheme="minorHAnsi" w:eastAsiaTheme="minorEastAsia" w:hAnsiTheme="minorHAnsi" w:cstheme="minorBidi"/>
              <w:noProof/>
              <w:color w:val="auto"/>
              <w:lang w:val="en-CA" w:eastAsia="en-CA"/>
            </w:rPr>
          </w:pPr>
          <w:hyperlink w:anchor="_Toc68950162" w:history="1">
            <w:r w:rsidR="00E82593" w:rsidRPr="00BB44B6">
              <w:rPr>
                <w:rStyle w:val="Hyperlink"/>
                <w:noProof/>
                <w:lang w:val="fr-CA"/>
              </w:rPr>
              <w:t>3.</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Principes sous-jacents</w:t>
            </w:r>
            <w:r w:rsidR="00E82593">
              <w:rPr>
                <w:noProof/>
                <w:webHidden/>
              </w:rPr>
              <w:tab/>
            </w:r>
            <w:r w:rsidR="00E82593">
              <w:rPr>
                <w:noProof/>
                <w:webHidden/>
              </w:rPr>
              <w:fldChar w:fldCharType="begin"/>
            </w:r>
            <w:r w:rsidR="00E82593">
              <w:rPr>
                <w:noProof/>
                <w:webHidden/>
              </w:rPr>
              <w:instrText xml:space="preserve"> PAGEREF _Toc68950162 \h </w:instrText>
            </w:r>
            <w:r w:rsidR="00E82593">
              <w:rPr>
                <w:noProof/>
                <w:webHidden/>
              </w:rPr>
            </w:r>
            <w:r w:rsidR="00E82593">
              <w:rPr>
                <w:noProof/>
                <w:webHidden/>
              </w:rPr>
              <w:fldChar w:fldCharType="separate"/>
            </w:r>
            <w:r w:rsidR="00E82593">
              <w:rPr>
                <w:noProof/>
                <w:webHidden/>
              </w:rPr>
              <w:t>4</w:t>
            </w:r>
            <w:r w:rsidR="00E82593">
              <w:rPr>
                <w:noProof/>
                <w:webHidden/>
              </w:rPr>
              <w:fldChar w:fldCharType="end"/>
            </w:r>
          </w:hyperlink>
        </w:p>
        <w:p w14:paraId="0263614E" w14:textId="77777777" w:rsidR="00E82593" w:rsidRDefault="002772F5">
          <w:pPr>
            <w:pStyle w:val="TOC1"/>
            <w:rPr>
              <w:rFonts w:asciiTheme="minorHAnsi" w:eastAsiaTheme="minorEastAsia" w:hAnsiTheme="minorHAnsi" w:cstheme="minorBidi"/>
              <w:noProof/>
              <w:color w:val="auto"/>
              <w:lang w:val="en-CA" w:eastAsia="en-CA"/>
            </w:rPr>
          </w:pPr>
          <w:hyperlink w:anchor="_Toc68950163" w:history="1">
            <w:r w:rsidR="00E82593" w:rsidRPr="00BB44B6">
              <w:rPr>
                <w:rStyle w:val="Hyperlink"/>
                <w:noProof/>
                <w:lang w:val="fr-CA"/>
              </w:rPr>
              <w:t>4.</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Principaux risques</w:t>
            </w:r>
            <w:r w:rsidR="00E82593">
              <w:rPr>
                <w:noProof/>
                <w:webHidden/>
              </w:rPr>
              <w:tab/>
            </w:r>
            <w:r w:rsidR="00E82593">
              <w:rPr>
                <w:noProof/>
                <w:webHidden/>
              </w:rPr>
              <w:fldChar w:fldCharType="begin"/>
            </w:r>
            <w:r w:rsidR="00E82593">
              <w:rPr>
                <w:noProof/>
                <w:webHidden/>
              </w:rPr>
              <w:instrText xml:space="preserve"> PAGEREF _Toc68950163 \h </w:instrText>
            </w:r>
            <w:r w:rsidR="00E82593">
              <w:rPr>
                <w:noProof/>
                <w:webHidden/>
              </w:rPr>
            </w:r>
            <w:r w:rsidR="00E82593">
              <w:rPr>
                <w:noProof/>
                <w:webHidden/>
              </w:rPr>
              <w:fldChar w:fldCharType="separate"/>
            </w:r>
            <w:r w:rsidR="00E82593">
              <w:rPr>
                <w:noProof/>
                <w:webHidden/>
              </w:rPr>
              <w:t>5</w:t>
            </w:r>
            <w:r w:rsidR="00E82593">
              <w:rPr>
                <w:noProof/>
                <w:webHidden/>
              </w:rPr>
              <w:fldChar w:fldCharType="end"/>
            </w:r>
          </w:hyperlink>
        </w:p>
        <w:p w14:paraId="3998A3A9" w14:textId="77777777" w:rsidR="00E82593" w:rsidRDefault="002772F5">
          <w:pPr>
            <w:pStyle w:val="TOC1"/>
            <w:rPr>
              <w:rFonts w:asciiTheme="minorHAnsi" w:eastAsiaTheme="minorEastAsia" w:hAnsiTheme="minorHAnsi" w:cstheme="minorBidi"/>
              <w:noProof/>
              <w:color w:val="auto"/>
              <w:lang w:val="en-CA" w:eastAsia="en-CA"/>
            </w:rPr>
          </w:pPr>
          <w:hyperlink w:anchor="_Toc68950164" w:history="1">
            <w:r w:rsidR="00E82593" w:rsidRPr="00BB44B6">
              <w:rPr>
                <w:rStyle w:val="Hyperlink"/>
                <w:noProof/>
                <w:lang w:val="fr-CA"/>
              </w:rPr>
              <w:t>5.</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Gestion des risques</w:t>
            </w:r>
            <w:r w:rsidR="00E82593">
              <w:rPr>
                <w:noProof/>
                <w:webHidden/>
              </w:rPr>
              <w:tab/>
            </w:r>
            <w:r w:rsidR="00E82593">
              <w:rPr>
                <w:noProof/>
                <w:webHidden/>
              </w:rPr>
              <w:fldChar w:fldCharType="begin"/>
            </w:r>
            <w:r w:rsidR="00E82593">
              <w:rPr>
                <w:noProof/>
                <w:webHidden/>
              </w:rPr>
              <w:instrText xml:space="preserve"> PAGEREF _Toc68950164 \h </w:instrText>
            </w:r>
            <w:r w:rsidR="00E82593">
              <w:rPr>
                <w:noProof/>
                <w:webHidden/>
              </w:rPr>
            </w:r>
            <w:r w:rsidR="00E82593">
              <w:rPr>
                <w:noProof/>
                <w:webHidden/>
              </w:rPr>
              <w:fldChar w:fldCharType="separate"/>
            </w:r>
            <w:r w:rsidR="00E82593">
              <w:rPr>
                <w:noProof/>
                <w:webHidden/>
              </w:rPr>
              <w:t>7</w:t>
            </w:r>
            <w:r w:rsidR="00E82593">
              <w:rPr>
                <w:noProof/>
                <w:webHidden/>
              </w:rPr>
              <w:fldChar w:fldCharType="end"/>
            </w:r>
          </w:hyperlink>
        </w:p>
        <w:p w14:paraId="2FCB5853" w14:textId="77777777" w:rsidR="00E82593" w:rsidRDefault="002772F5">
          <w:pPr>
            <w:pStyle w:val="TOC1"/>
            <w:rPr>
              <w:rFonts w:asciiTheme="minorHAnsi" w:eastAsiaTheme="minorEastAsia" w:hAnsiTheme="minorHAnsi" w:cstheme="minorBidi"/>
              <w:noProof/>
              <w:color w:val="auto"/>
              <w:lang w:val="en-CA" w:eastAsia="en-CA"/>
            </w:rPr>
          </w:pPr>
          <w:hyperlink w:anchor="_Toc68950165" w:history="1">
            <w:r w:rsidR="00E82593" w:rsidRPr="00BB44B6">
              <w:rPr>
                <w:rStyle w:val="Hyperlink"/>
                <w:noProof/>
                <w:lang w:val="fr-CA"/>
              </w:rPr>
              <w:t>6.</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Évaluations actuarielles</w:t>
            </w:r>
            <w:r w:rsidR="00E82593">
              <w:rPr>
                <w:noProof/>
                <w:webHidden/>
              </w:rPr>
              <w:tab/>
            </w:r>
            <w:r w:rsidR="00E82593">
              <w:rPr>
                <w:noProof/>
                <w:webHidden/>
              </w:rPr>
              <w:fldChar w:fldCharType="begin"/>
            </w:r>
            <w:r w:rsidR="00E82593">
              <w:rPr>
                <w:noProof/>
                <w:webHidden/>
              </w:rPr>
              <w:instrText xml:space="preserve"> PAGEREF _Toc68950165 \h </w:instrText>
            </w:r>
            <w:r w:rsidR="00E82593">
              <w:rPr>
                <w:noProof/>
                <w:webHidden/>
              </w:rPr>
            </w:r>
            <w:r w:rsidR="00E82593">
              <w:rPr>
                <w:noProof/>
                <w:webHidden/>
              </w:rPr>
              <w:fldChar w:fldCharType="separate"/>
            </w:r>
            <w:r w:rsidR="00E82593">
              <w:rPr>
                <w:noProof/>
                <w:webHidden/>
              </w:rPr>
              <w:t>8</w:t>
            </w:r>
            <w:r w:rsidR="00E82593">
              <w:rPr>
                <w:noProof/>
                <w:webHidden/>
              </w:rPr>
              <w:fldChar w:fldCharType="end"/>
            </w:r>
          </w:hyperlink>
        </w:p>
        <w:p w14:paraId="27082F09" w14:textId="77777777" w:rsidR="00E82593" w:rsidRDefault="002772F5">
          <w:pPr>
            <w:pStyle w:val="TOC1"/>
            <w:rPr>
              <w:rFonts w:asciiTheme="minorHAnsi" w:eastAsiaTheme="minorEastAsia" w:hAnsiTheme="minorHAnsi" w:cstheme="minorBidi"/>
              <w:noProof/>
              <w:color w:val="auto"/>
              <w:lang w:val="en-CA" w:eastAsia="en-CA"/>
            </w:rPr>
          </w:pPr>
          <w:hyperlink w:anchor="_Toc68950166" w:history="1">
            <w:r w:rsidR="00E82593" w:rsidRPr="00BB44B6">
              <w:rPr>
                <w:rStyle w:val="Hyperlink"/>
                <w:noProof/>
                <w:lang w:val="fr-CA"/>
              </w:rPr>
              <w:t>7.</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Ajustements des prestations</w:t>
            </w:r>
            <w:r w:rsidR="00E82593">
              <w:rPr>
                <w:noProof/>
                <w:webHidden/>
              </w:rPr>
              <w:tab/>
            </w:r>
            <w:r w:rsidR="00E82593">
              <w:rPr>
                <w:noProof/>
                <w:webHidden/>
              </w:rPr>
              <w:fldChar w:fldCharType="begin"/>
            </w:r>
            <w:r w:rsidR="00E82593">
              <w:rPr>
                <w:noProof/>
                <w:webHidden/>
              </w:rPr>
              <w:instrText xml:space="preserve"> PAGEREF _Toc68950166 \h </w:instrText>
            </w:r>
            <w:r w:rsidR="00E82593">
              <w:rPr>
                <w:noProof/>
                <w:webHidden/>
              </w:rPr>
            </w:r>
            <w:r w:rsidR="00E82593">
              <w:rPr>
                <w:noProof/>
                <w:webHidden/>
              </w:rPr>
              <w:fldChar w:fldCharType="separate"/>
            </w:r>
            <w:r w:rsidR="00E82593">
              <w:rPr>
                <w:noProof/>
                <w:webHidden/>
              </w:rPr>
              <w:t>9</w:t>
            </w:r>
            <w:r w:rsidR="00E82593">
              <w:rPr>
                <w:noProof/>
                <w:webHidden/>
              </w:rPr>
              <w:fldChar w:fldCharType="end"/>
            </w:r>
          </w:hyperlink>
        </w:p>
        <w:p w14:paraId="00013FAB" w14:textId="77777777" w:rsidR="00E82593" w:rsidRDefault="002772F5">
          <w:pPr>
            <w:pStyle w:val="TOC1"/>
            <w:rPr>
              <w:rFonts w:asciiTheme="minorHAnsi" w:eastAsiaTheme="minorEastAsia" w:hAnsiTheme="minorHAnsi" w:cstheme="minorBidi"/>
              <w:noProof/>
              <w:color w:val="auto"/>
              <w:lang w:val="en-CA" w:eastAsia="en-CA"/>
            </w:rPr>
          </w:pPr>
          <w:hyperlink w:anchor="_Toc68950167" w:history="1">
            <w:r w:rsidR="00E82593" w:rsidRPr="00BB44B6">
              <w:rPr>
                <w:rStyle w:val="Hyperlink"/>
                <w:noProof/>
                <w:lang w:val="fr-CA"/>
              </w:rPr>
              <w:t>8.</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Objectifs de financement</w:t>
            </w:r>
            <w:r w:rsidR="00E82593">
              <w:rPr>
                <w:noProof/>
                <w:webHidden/>
              </w:rPr>
              <w:tab/>
            </w:r>
            <w:r w:rsidR="00E82593">
              <w:rPr>
                <w:noProof/>
                <w:webHidden/>
              </w:rPr>
              <w:fldChar w:fldCharType="begin"/>
            </w:r>
            <w:r w:rsidR="00E82593">
              <w:rPr>
                <w:noProof/>
                <w:webHidden/>
              </w:rPr>
              <w:instrText xml:space="preserve"> PAGEREF _Toc68950167 \h </w:instrText>
            </w:r>
            <w:r w:rsidR="00E82593">
              <w:rPr>
                <w:noProof/>
                <w:webHidden/>
              </w:rPr>
            </w:r>
            <w:r w:rsidR="00E82593">
              <w:rPr>
                <w:noProof/>
                <w:webHidden/>
              </w:rPr>
              <w:fldChar w:fldCharType="separate"/>
            </w:r>
            <w:r w:rsidR="00E82593">
              <w:rPr>
                <w:noProof/>
                <w:webHidden/>
              </w:rPr>
              <w:t>10</w:t>
            </w:r>
            <w:r w:rsidR="00E82593">
              <w:rPr>
                <w:noProof/>
                <w:webHidden/>
              </w:rPr>
              <w:fldChar w:fldCharType="end"/>
            </w:r>
          </w:hyperlink>
        </w:p>
        <w:p w14:paraId="4AF43CF7" w14:textId="77777777" w:rsidR="00E82593" w:rsidRDefault="002772F5">
          <w:pPr>
            <w:pStyle w:val="TOC1"/>
            <w:rPr>
              <w:rFonts w:asciiTheme="minorHAnsi" w:eastAsiaTheme="minorEastAsia" w:hAnsiTheme="minorHAnsi" w:cstheme="minorBidi"/>
              <w:noProof/>
              <w:color w:val="auto"/>
              <w:lang w:val="en-CA" w:eastAsia="en-CA"/>
            </w:rPr>
          </w:pPr>
          <w:hyperlink w:anchor="_Toc68950168" w:history="1">
            <w:r w:rsidR="00E82593" w:rsidRPr="00BB44B6">
              <w:rPr>
                <w:rStyle w:val="Hyperlink"/>
                <w:noProof/>
                <w:lang w:val="fr-CA"/>
              </w:rPr>
              <w:t>9.</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Atténuation des risques</w:t>
            </w:r>
            <w:r w:rsidR="00E82593">
              <w:rPr>
                <w:noProof/>
                <w:webHidden/>
              </w:rPr>
              <w:tab/>
            </w:r>
            <w:r w:rsidR="00E82593">
              <w:rPr>
                <w:noProof/>
                <w:webHidden/>
              </w:rPr>
              <w:fldChar w:fldCharType="begin"/>
            </w:r>
            <w:r w:rsidR="00E82593">
              <w:rPr>
                <w:noProof/>
                <w:webHidden/>
              </w:rPr>
              <w:instrText xml:space="preserve"> PAGEREF _Toc68950168 \h </w:instrText>
            </w:r>
            <w:r w:rsidR="00E82593">
              <w:rPr>
                <w:noProof/>
                <w:webHidden/>
              </w:rPr>
            </w:r>
            <w:r w:rsidR="00E82593">
              <w:rPr>
                <w:noProof/>
                <w:webHidden/>
              </w:rPr>
              <w:fldChar w:fldCharType="separate"/>
            </w:r>
            <w:r w:rsidR="00E82593">
              <w:rPr>
                <w:noProof/>
                <w:webHidden/>
              </w:rPr>
              <w:t>11</w:t>
            </w:r>
            <w:r w:rsidR="00E82593">
              <w:rPr>
                <w:noProof/>
                <w:webHidden/>
              </w:rPr>
              <w:fldChar w:fldCharType="end"/>
            </w:r>
          </w:hyperlink>
        </w:p>
        <w:p w14:paraId="16D3B244" w14:textId="77777777" w:rsidR="00E82593" w:rsidRDefault="002772F5">
          <w:pPr>
            <w:pStyle w:val="TOC1"/>
            <w:rPr>
              <w:rFonts w:asciiTheme="minorHAnsi" w:eastAsiaTheme="minorEastAsia" w:hAnsiTheme="minorHAnsi" w:cstheme="minorBidi"/>
              <w:noProof/>
              <w:color w:val="auto"/>
              <w:lang w:val="en-CA" w:eastAsia="en-CA"/>
            </w:rPr>
          </w:pPr>
          <w:hyperlink w:anchor="_Toc68950169" w:history="1">
            <w:r w:rsidR="00E82593" w:rsidRPr="00BB44B6">
              <w:rPr>
                <w:rStyle w:val="Hyperlink"/>
                <w:noProof/>
                <w:lang w:val="fr-CA"/>
              </w:rPr>
              <w:t>10.</w:t>
            </w:r>
            <w:r w:rsidR="00E82593">
              <w:rPr>
                <w:rFonts w:asciiTheme="minorHAnsi" w:eastAsiaTheme="minorEastAsia" w:hAnsiTheme="minorHAnsi" w:cstheme="minorBidi"/>
                <w:noProof/>
                <w:color w:val="auto"/>
                <w:lang w:val="en-CA" w:eastAsia="en-CA"/>
              </w:rPr>
              <w:tab/>
            </w:r>
            <w:r w:rsidR="00E82593" w:rsidRPr="00BB44B6">
              <w:rPr>
                <w:rStyle w:val="Hyperlink"/>
                <w:noProof/>
                <w:lang w:val="fr-CA"/>
              </w:rPr>
              <w:t>Excédents et déficits</w:t>
            </w:r>
            <w:r w:rsidR="00E82593">
              <w:rPr>
                <w:noProof/>
                <w:webHidden/>
              </w:rPr>
              <w:tab/>
            </w:r>
            <w:r w:rsidR="00E82593">
              <w:rPr>
                <w:noProof/>
                <w:webHidden/>
              </w:rPr>
              <w:fldChar w:fldCharType="begin"/>
            </w:r>
            <w:r w:rsidR="00E82593">
              <w:rPr>
                <w:noProof/>
                <w:webHidden/>
              </w:rPr>
              <w:instrText xml:space="preserve"> PAGEREF _Toc68950169 \h </w:instrText>
            </w:r>
            <w:r w:rsidR="00E82593">
              <w:rPr>
                <w:noProof/>
                <w:webHidden/>
              </w:rPr>
            </w:r>
            <w:r w:rsidR="00E82593">
              <w:rPr>
                <w:noProof/>
                <w:webHidden/>
              </w:rPr>
              <w:fldChar w:fldCharType="separate"/>
            </w:r>
            <w:r w:rsidR="00E82593">
              <w:rPr>
                <w:noProof/>
                <w:webHidden/>
              </w:rPr>
              <w:t>12</w:t>
            </w:r>
            <w:r w:rsidR="00E82593">
              <w:rPr>
                <w:noProof/>
                <w:webHidden/>
              </w:rPr>
              <w:fldChar w:fldCharType="end"/>
            </w:r>
          </w:hyperlink>
        </w:p>
        <w:p w14:paraId="526A9692" w14:textId="77777777" w:rsidR="00E82593" w:rsidRDefault="002772F5">
          <w:pPr>
            <w:pStyle w:val="TOC1"/>
            <w:rPr>
              <w:rFonts w:asciiTheme="minorHAnsi" w:eastAsiaTheme="minorEastAsia" w:hAnsiTheme="minorHAnsi" w:cstheme="minorBidi"/>
              <w:noProof/>
              <w:color w:val="auto"/>
              <w:lang w:val="en-CA" w:eastAsia="en-CA"/>
            </w:rPr>
          </w:pPr>
          <w:hyperlink w:anchor="_Toc68950170" w:history="1">
            <w:r w:rsidR="00E82593" w:rsidRPr="00BB44B6">
              <w:rPr>
                <w:rStyle w:val="Hyperlink"/>
                <w:noProof/>
              </w:rPr>
              <w:t>11.</w:t>
            </w:r>
            <w:r w:rsidR="00E82593">
              <w:rPr>
                <w:rFonts w:asciiTheme="minorHAnsi" w:eastAsiaTheme="minorEastAsia" w:hAnsiTheme="minorHAnsi" w:cstheme="minorBidi"/>
                <w:noProof/>
                <w:color w:val="auto"/>
                <w:lang w:val="en-CA" w:eastAsia="en-CA"/>
              </w:rPr>
              <w:tab/>
            </w:r>
            <w:r w:rsidR="00E82593" w:rsidRPr="00BB44B6">
              <w:rPr>
                <w:rStyle w:val="Hyperlink"/>
                <w:noProof/>
              </w:rPr>
              <w:t>Communications</w:t>
            </w:r>
            <w:r w:rsidR="00E82593">
              <w:rPr>
                <w:noProof/>
                <w:webHidden/>
              </w:rPr>
              <w:tab/>
            </w:r>
            <w:r w:rsidR="00E82593">
              <w:rPr>
                <w:noProof/>
                <w:webHidden/>
              </w:rPr>
              <w:fldChar w:fldCharType="begin"/>
            </w:r>
            <w:r w:rsidR="00E82593">
              <w:rPr>
                <w:noProof/>
                <w:webHidden/>
              </w:rPr>
              <w:instrText xml:space="preserve"> PAGEREF _Toc68950170 \h </w:instrText>
            </w:r>
            <w:r w:rsidR="00E82593">
              <w:rPr>
                <w:noProof/>
                <w:webHidden/>
              </w:rPr>
            </w:r>
            <w:r w:rsidR="00E82593">
              <w:rPr>
                <w:noProof/>
                <w:webHidden/>
              </w:rPr>
              <w:fldChar w:fldCharType="separate"/>
            </w:r>
            <w:r w:rsidR="00E82593">
              <w:rPr>
                <w:noProof/>
                <w:webHidden/>
              </w:rPr>
              <w:t>13</w:t>
            </w:r>
            <w:r w:rsidR="00E82593">
              <w:rPr>
                <w:noProof/>
                <w:webHidden/>
              </w:rPr>
              <w:fldChar w:fldCharType="end"/>
            </w:r>
          </w:hyperlink>
        </w:p>
        <w:p w14:paraId="7661ABAA" w14:textId="77777777" w:rsidR="00CC4BA6" w:rsidRDefault="00487763" w:rsidP="00487763">
          <w:pPr>
            <w:pStyle w:val="TOC1"/>
          </w:pPr>
          <w:r>
            <w:rPr>
              <w:rFonts w:cs="Arial"/>
            </w:rPr>
            <w:fldChar w:fldCharType="end"/>
          </w:r>
        </w:p>
      </w:sdtContent>
    </w:sdt>
    <w:p w14:paraId="1C039238" w14:textId="77777777" w:rsidR="00CC4BA6" w:rsidRDefault="00CC4BA6">
      <w:pPr>
        <w:rPr>
          <w:rFonts w:ascii="Arial" w:eastAsia="Arial" w:hAnsi="Arial" w:cs="Arial"/>
        </w:rPr>
      </w:pPr>
    </w:p>
    <w:p w14:paraId="500D32C1" w14:textId="77777777" w:rsidR="00CC4BA6" w:rsidRDefault="00CC4BA6">
      <w:pPr>
        <w:pStyle w:val="Heading1"/>
        <w:spacing w:after="120" w:line="276" w:lineRule="auto"/>
        <w:ind w:left="360" w:hanging="360"/>
        <w:rPr>
          <w:color w:val="000000"/>
        </w:rPr>
      </w:pPr>
    </w:p>
    <w:p w14:paraId="2560E9BC" w14:textId="77777777" w:rsidR="00CC4BA6" w:rsidRDefault="001466D1">
      <w:r>
        <w:br w:type="page"/>
      </w:r>
    </w:p>
    <w:p w14:paraId="11F3A00D" w14:textId="77777777" w:rsidR="00CC4BA6" w:rsidRDefault="00CC4BA6">
      <w:pPr>
        <w:spacing w:line="276" w:lineRule="auto"/>
        <w:sectPr w:rsidR="00CC4BA6">
          <w:type w:val="continuous"/>
          <w:pgSz w:w="12240" w:h="15840"/>
          <w:pgMar w:top="1344" w:right="1134" w:bottom="1440" w:left="1134" w:header="0" w:footer="720" w:gutter="0"/>
          <w:cols w:space="720"/>
        </w:sectPr>
      </w:pPr>
    </w:p>
    <w:p w14:paraId="4A4FC287" w14:textId="4A0190FE" w:rsidR="00CC4BA6" w:rsidRDefault="00567201" w:rsidP="00487763">
      <w:pPr>
        <w:pStyle w:val="Heading1"/>
        <w:numPr>
          <w:ilvl w:val="0"/>
          <w:numId w:val="7"/>
        </w:numPr>
        <w:spacing w:before="0" w:line="264" w:lineRule="auto"/>
        <w:ind w:left="540" w:hanging="540"/>
        <w:rPr>
          <w:color w:val="000000"/>
        </w:rPr>
      </w:pPr>
      <w:bookmarkStart w:id="3" w:name="_Toc68950160"/>
      <w:r>
        <w:rPr>
          <w:color w:val="000000"/>
        </w:rPr>
        <w:lastRenderedPageBreak/>
        <w:t>But</w:t>
      </w:r>
      <w:bookmarkEnd w:id="3"/>
    </w:p>
    <w:p w14:paraId="70E68A89" w14:textId="77777777" w:rsidR="00586E0A" w:rsidRPr="00586E0A" w:rsidRDefault="00586E0A" w:rsidP="00487763">
      <w:pPr>
        <w:spacing w:line="264" w:lineRule="auto"/>
        <w:rPr>
          <w:rFonts w:ascii="Arial" w:hAnsi="Arial" w:cs="Arial"/>
        </w:rPr>
      </w:pPr>
    </w:p>
    <w:p w14:paraId="575D8D46" w14:textId="77777777" w:rsidR="00CC4BA6" w:rsidRDefault="001466D1" w:rsidP="00487763">
      <w:pPr>
        <w:numPr>
          <w:ilvl w:val="1"/>
          <w:numId w:val="7"/>
        </w:numPr>
        <w:spacing w:line="264" w:lineRule="auto"/>
        <w:ind w:left="1260" w:hanging="693"/>
        <w:rPr>
          <w:rFonts w:ascii="Arial" w:eastAsia="Arial" w:hAnsi="Arial" w:cs="Arial"/>
        </w:rPr>
      </w:pPr>
      <w:r>
        <w:rPr>
          <w:rFonts w:ascii="Arial" w:eastAsia="Arial" w:hAnsi="Arial" w:cs="Arial"/>
          <w:b/>
        </w:rPr>
        <w:t>Application</w:t>
      </w:r>
    </w:p>
    <w:p w14:paraId="43F20A5F" w14:textId="6806E24C" w:rsidR="00873147" w:rsidRPr="00C56C0E" w:rsidRDefault="00873147" w:rsidP="00B82096">
      <w:pPr>
        <w:spacing w:before="120" w:line="264" w:lineRule="auto"/>
        <w:ind w:left="1267"/>
        <w:rPr>
          <w:rFonts w:ascii="Arial" w:hAnsi="Arial" w:cs="Arial"/>
          <w:lang w:val="fr-CA"/>
        </w:rPr>
      </w:pPr>
      <w:r w:rsidRPr="00873147">
        <w:rPr>
          <w:rFonts w:ascii="Arial" w:hAnsi="Arial" w:cs="Arial"/>
          <w:lang w:val="fr-CA"/>
        </w:rPr>
        <w:t xml:space="preserve">La présente politique de financement (la </w:t>
      </w:r>
      <w:r>
        <w:rPr>
          <w:rFonts w:ascii="Arial" w:hAnsi="Arial" w:cs="Arial"/>
          <w:lang w:val="fr-CA"/>
        </w:rPr>
        <w:t>« </w:t>
      </w:r>
      <w:r w:rsidRPr="00873147">
        <w:rPr>
          <w:rFonts w:ascii="Arial" w:hAnsi="Arial" w:cs="Arial"/>
          <w:lang w:val="fr-CA"/>
        </w:rPr>
        <w:t>politique</w:t>
      </w:r>
      <w:r>
        <w:rPr>
          <w:rFonts w:ascii="Arial" w:hAnsi="Arial" w:cs="Arial"/>
          <w:lang w:val="fr-CA"/>
        </w:rPr>
        <w:t> »</w:t>
      </w:r>
      <w:r w:rsidRPr="00873147">
        <w:rPr>
          <w:rFonts w:ascii="Arial" w:hAnsi="Arial" w:cs="Arial"/>
          <w:lang w:val="fr-CA"/>
        </w:rPr>
        <w:t xml:space="preserve">) s’applique </w:t>
      </w:r>
      <w:r>
        <w:rPr>
          <w:rFonts w:ascii="Arial" w:hAnsi="Arial" w:cs="Arial"/>
          <w:lang w:val="fr-CA"/>
        </w:rPr>
        <w:t xml:space="preserve">à la Fiducie de soins de santé au bénéfice d’employés de la </w:t>
      </w:r>
      <w:r w:rsidRPr="00873147">
        <w:rPr>
          <w:rFonts w:ascii="Arial" w:hAnsi="Arial" w:cs="Arial"/>
          <w:lang w:val="fr-CA"/>
        </w:rPr>
        <w:t>Fédération des enseignantes</w:t>
      </w:r>
      <w:r w:rsidR="00C56C0E">
        <w:rPr>
          <w:rFonts w:ascii="Arial" w:hAnsi="Arial" w:cs="Arial"/>
          <w:lang w:val="fr-CA"/>
        </w:rPr>
        <w:t>-</w:t>
      </w:r>
      <w:r w:rsidRPr="00873147">
        <w:rPr>
          <w:rFonts w:ascii="Arial" w:hAnsi="Arial" w:cs="Arial"/>
          <w:lang w:val="fr-CA"/>
        </w:rPr>
        <w:t>enseignants des écoles secondaires de l’Ontario (</w:t>
      </w:r>
      <w:r w:rsidR="00C56C0E">
        <w:rPr>
          <w:rFonts w:ascii="Arial" w:hAnsi="Arial" w:cs="Arial"/>
          <w:lang w:val="fr-CA"/>
        </w:rPr>
        <w:t>OSSTF/</w:t>
      </w:r>
      <w:r w:rsidRPr="00873147">
        <w:rPr>
          <w:rFonts w:ascii="Arial" w:hAnsi="Arial" w:cs="Arial"/>
          <w:lang w:val="fr-CA"/>
        </w:rPr>
        <w:t>FEESO) (</w:t>
      </w:r>
      <w:r w:rsidR="00C56C0E">
        <w:rPr>
          <w:rFonts w:ascii="Arial" w:hAnsi="Arial" w:cs="Arial"/>
          <w:lang w:val="fr-CA"/>
        </w:rPr>
        <w:t xml:space="preserve">« OSSTF </w:t>
      </w:r>
      <w:proofErr w:type="spellStart"/>
      <w:r w:rsidR="00C56C0E">
        <w:rPr>
          <w:rFonts w:ascii="Arial" w:hAnsi="Arial" w:cs="Arial"/>
          <w:lang w:val="fr-CA"/>
        </w:rPr>
        <w:t>Benefits</w:t>
      </w:r>
      <w:proofErr w:type="spellEnd"/>
      <w:r w:rsidR="00C56C0E">
        <w:rPr>
          <w:rFonts w:ascii="Arial" w:hAnsi="Arial" w:cs="Arial"/>
          <w:lang w:val="fr-CA"/>
        </w:rPr>
        <w:t> </w:t>
      </w:r>
      <w:proofErr w:type="gramStart"/>
      <w:r w:rsidR="00C56C0E">
        <w:rPr>
          <w:rFonts w:ascii="Arial" w:hAnsi="Arial" w:cs="Arial"/>
          <w:lang w:val="fr-CA"/>
        </w:rPr>
        <w:t xml:space="preserve">» </w:t>
      </w:r>
      <w:r w:rsidRPr="00873147">
        <w:rPr>
          <w:rFonts w:ascii="Arial" w:hAnsi="Arial" w:cs="Arial"/>
          <w:lang w:val="fr-CA"/>
        </w:rPr>
        <w:t xml:space="preserve"> ou</w:t>
      </w:r>
      <w:proofErr w:type="gramEnd"/>
      <w:r w:rsidRPr="00873147">
        <w:rPr>
          <w:rFonts w:ascii="Arial" w:hAnsi="Arial" w:cs="Arial"/>
          <w:lang w:val="fr-CA"/>
        </w:rPr>
        <w:t xml:space="preserve"> la </w:t>
      </w:r>
      <w:r w:rsidR="00C56C0E">
        <w:rPr>
          <w:rFonts w:ascii="Arial" w:hAnsi="Arial" w:cs="Arial"/>
          <w:lang w:val="fr-CA"/>
        </w:rPr>
        <w:t>« </w:t>
      </w:r>
      <w:r w:rsidRPr="00873147">
        <w:rPr>
          <w:rFonts w:ascii="Arial" w:hAnsi="Arial" w:cs="Arial"/>
          <w:lang w:val="fr-CA"/>
        </w:rPr>
        <w:t xml:space="preserve"> fiducie</w:t>
      </w:r>
      <w:r w:rsidR="00C56C0E">
        <w:rPr>
          <w:rFonts w:ascii="Arial" w:hAnsi="Arial" w:cs="Arial"/>
          <w:lang w:val="fr-CA"/>
        </w:rPr>
        <w:t> »</w:t>
      </w:r>
      <w:r w:rsidRPr="00873147">
        <w:rPr>
          <w:rFonts w:ascii="Arial" w:hAnsi="Arial" w:cs="Arial"/>
          <w:lang w:val="fr-CA"/>
        </w:rPr>
        <w:t xml:space="preserve">). La </w:t>
      </w:r>
      <w:r w:rsidR="00C56C0E">
        <w:rPr>
          <w:rFonts w:ascii="Arial" w:hAnsi="Arial" w:cs="Arial"/>
          <w:lang w:val="fr-CA"/>
        </w:rPr>
        <w:t>F</w:t>
      </w:r>
      <w:r w:rsidRPr="00873147">
        <w:rPr>
          <w:rFonts w:ascii="Arial" w:hAnsi="Arial" w:cs="Arial"/>
          <w:lang w:val="fr-CA"/>
        </w:rPr>
        <w:t xml:space="preserve">iducie est régie par le conseil d’administration de la Fiducie </w:t>
      </w:r>
      <w:r w:rsidR="00C56C0E">
        <w:rPr>
          <w:rFonts w:ascii="Arial" w:hAnsi="Arial" w:cs="Arial"/>
          <w:lang w:val="fr-CA"/>
        </w:rPr>
        <w:t xml:space="preserve">de soins de santé au bénéfice d’employés de la </w:t>
      </w:r>
      <w:r w:rsidR="00C56C0E" w:rsidRPr="00873147">
        <w:rPr>
          <w:rFonts w:ascii="Arial" w:hAnsi="Arial" w:cs="Arial"/>
          <w:lang w:val="fr-CA"/>
        </w:rPr>
        <w:t>Fédération des enseignantes</w:t>
      </w:r>
      <w:r w:rsidR="00C56C0E">
        <w:rPr>
          <w:rFonts w:ascii="Arial" w:hAnsi="Arial" w:cs="Arial"/>
          <w:lang w:val="fr-CA"/>
        </w:rPr>
        <w:t>-</w:t>
      </w:r>
      <w:r w:rsidR="00C56C0E" w:rsidRPr="00873147">
        <w:rPr>
          <w:rFonts w:ascii="Arial" w:hAnsi="Arial" w:cs="Arial"/>
          <w:lang w:val="fr-CA"/>
        </w:rPr>
        <w:t xml:space="preserve">enseignants des écoles secondaires de l’Ontario </w:t>
      </w:r>
      <w:r w:rsidRPr="00873147">
        <w:rPr>
          <w:rFonts w:ascii="Arial" w:hAnsi="Arial" w:cs="Arial"/>
          <w:lang w:val="fr-CA"/>
        </w:rPr>
        <w:t xml:space="preserve">(les </w:t>
      </w:r>
      <w:r w:rsidR="00C56C0E">
        <w:rPr>
          <w:rFonts w:ascii="Arial" w:hAnsi="Arial" w:cs="Arial"/>
          <w:lang w:val="fr-CA"/>
        </w:rPr>
        <w:t>« </w:t>
      </w:r>
      <w:r w:rsidRPr="00873147">
        <w:rPr>
          <w:rFonts w:ascii="Arial" w:hAnsi="Arial" w:cs="Arial"/>
          <w:lang w:val="fr-CA"/>
        </w:rPr>
        <w:t>fiduciaires</w:t>
      </w:r>
      <w:r w:rsidR="00C56C0E">
        <w:rPr>
          <w:rFonts w:ascii="Arial" w:hAnsi="Arial" w:cs="Arial"/>
          <w:lang w:val="fr-CA"/>
        </w:rPr>
        <w:t> »</w:t>
      </w:r>
      <w:r w:rsidRPr="00873147">
        <w:rPr>
          <w:rFonts w:ascii="Arial" w:hAnsi="Arial" w:cs="Arial"/>
          <w:lang w:val="fr-CA"/>
        </w:rPr>
        <w:t>).</w:t>
      </w:r>
    </w:p>
    <w:p w14:paraId="474A6A41" w14:textId="77777777" w:rsidR="00586E0A" w:rsidRDefault="00586E0A" w:rsidP="00487763">
      <w:pPr>
        <w:spacing w:line="264" w:lineRule="auto"/>
        <w:ind w:left="1080"/>
        <w:rPr>
          <w:rFonts w:ascii="Arial" w:eastAsia="Arial" w:hAnsi="Arial" w:cs="Arial"/>
        </w:rPr>
      </w:pPr>
    </w:p>
    <w:p w14:paraId="0CDB17CF" w14:textId="631544B3" w:rsidR="00CC4BA6" w:rsidRDefault="00C56C0E" w:rsidP="00487763">
      <w:pPr>
        <w:numPr>
          <w:ilvl w:val="1"/>
          <w:numId w:val="7"/>
        </w:numPr>
        <w:spacing w:line="264" w:lineRule="auto"/>
        <w:ind w:left="1260" w:hanging="693"/>
        <w:rPr>
          <w:rFonts w:ascii="Arial" w:eastAsia="Arial" w:hAnsi="Arial" w:cs="Arial"/>
        </w:rPr>
      </w:pPr>
      <w:proofErr w:type="spellStart"/>
      <w:r>
        <w:rPr>
          <w:rFonts w:ascii="Arial" w:eastAsia="Arial" w:hAnsi="Arial" w:cs="Arial"/>
          <w:b/>
        </w:rPr>
        <w:t>Objet</w:t>
      </w:r>
      <w:proofErr w:type="spellEnd"/>
    </w:p>
    <w:p w14:paraId="3B67F142" w14:textId="27EA4BE9" w:rsidR="00C56C0E" w:rsidRPr="00B82096" w:rsidRDefault="00C56C0E" w:rsidP="00B82096">
      <w:pPr>
        <w:spacing w:before="120" w:line="264" w:lineRule="auto"/>
        <w:ind w:left="1260"/>
        <w:rPr>
          <w:rFonts w:ascii="Arial" w:eastAsia="Arial" w:hAnsi="Arial" w:cs="Arial"/>
        </w:rPr>
      </w:pPr>
      <w:r w:rsidRPr="00C56C0E">
        <w:rPr>
          <w:rFonts w:ascii="Arial" w:hAnsi="Arial" w:cs="Arial"/>
          <w:lang w:val="fr-CA"/>
        </w:rPr>
        <w:t>La présente politique décrit le cadre de la gestion financière prudente à long terme d</w:t>
      </w:r>
      <w:r>
        <w:rPr>
          <w:rFonts w:ascii="Arial" w:hAnsi="Arial" w:cs="Arial"/>
          <w:lang w:val="fr-CA"/>
        </w:rPr>
        <w:t>e la Fiducie</w:t>
      </w:r>
      <w:r w:rsidRPr="00C56C0E">
        <w:rPr>
          <w:rFonts w:ascii="Arial" w:hAnsi="Arial" w:cs="Arial"/>
          <w:lang w:val="fr-CA"/>
        </w:rPr>
        <w:t>. L’objectif de la politique est de guider le processus de prise de décision des fiduciaires en ce qui concerne le statut de capitalisation d</w:t>
      </w:r>
      <w:r>
        <w:rPr>
          <w:rFonts w:ascii="Arial" w:hAnsi="Arial" w:cs="Arial"/>
          <w:lang w:val="fr-CA"/>
        </w:rPr>
        <w:t>e la Fiducie</w:t>
      </w:r>
      <w:r w:rsidRPr="00C56C0E">
        <w:rPr>
          <w:rFonts w:ascii="Arial" w:hAnsi="Arial" w:cs="Arial"/>
          <w:lang w:val="fr-CA"/>
        </w:rPr>
        <w:t xml:space="preserve"> afin d’atteindre </w:t>
      </w:r>
      <w:r>
        <w:rPr>
          <w:rFonts w:ascii="Arial" w:hAnsi="Arial" w:cs="Arial"/>
          <w:lang w:val="fr-CA"/>
        </w:rPr>
        <w:t xml:space="preserve">son </w:t>
      </w:r>
      <w:r w:rsidR="00B82096">
        <w:rPr>
          <w:rFonts w:ascii="Arial" w:hAnsi="Arial" w:cs="Arial"/>
          <w:lang w:val="fr-CA"/>
        </w:rPr>
        <w:t>but</w:t>
      </w:r>
      <w:r w:rsidRPr="00C56C0E">
        <w:rPr>
          <w:rFonts w:ascii="Arial" w:hAnsi="Arial" w:cs="Arial"/>
          <w:lang w:val="fr-CA"/>
        </w:rPr>
        <w:t xml:space="preserve"> principal, à savoir que ses actifs et les cotisations prévues </w:t>
      </w:r>
      <w:r w:rsidR="00B82096">
        <w:rPr>
          <w:rFonts w:ascii="Arial" w:hAnsi="Arial" w:cs="Arial"/>
          <w:lang w:val="fr-CA"/>
        </w:rPr>
        <w:t xml:space="preserve">à la Fiducie </w:t>
      </w:r>
      <w:r w:rsidRPr="00C56C0E">
        <w:rPr>
          <w:rFonts w:ascii="Arial" w:hAnsi="Arial" w:cs="Arial"/>
          <w:lang w:val="fr-CA"/>
        </w:rPr>
        <w:t>sont suffisants pour répondre aux obligations au fur et à mesure qu’</w:t>
      </w:r>
      <w:r w:rsidR="00B82096">
        <w:rPr>
          <w:rFonts w:ascii="Arial" w:hAnsi="Arial" w:cs="Arial"/>
          <w:lang w:val="fr-CA"/>
        </w:rPr>
        <w:t xml:space="preserve">elles </w:t>
      </w:r>
      <w:r w:rsidR="00B82096" w:rsidRPr="004D541D">
        <w:rPr>
          <w:rFonts w:ascii="Arial" w:hAnsi="Arial" w:cs="Arial"/>
          <w:lang w:val="fr-CA"/>
        </w:rPr>
        <w:t>deviennent exigibles.</w:t>
      </w:r>
    </w:p>
    <w:p w14:paraId="1D9F35EA" w14:textId="77777777" w:rsidR="00C56C0E" w:rsidRPr="00C56C0E" w:rsidRDefault="00C56C0E" w:rsidP="00C56C0E">
      <w:pPr>
        <w:ind w:left="1260"/>
        <w:rPr>
          <w:rFonts w:ascii="Arial" w:hAnsi="Arial" w:cs="Arial"/>
          <w:lang w:val="fr-CA"/>
        </w:rPr>
      </w:pPr>
    </w:p>
    <w:p w14:paraId="7FE409AD" w14:textId="40D585C5" w:rsidR="00C56C0E" w:rsidRPr="00C56C0E" w:rsidRDefault="00C56C0E" w:rsidP="00B82096">
      <w:pPr>
        <w:spacing w:line="264" w:lineRule="auto"/>
        <w:ind w:left="1267"/>
        <w:rPr>
          <w:rFonts w:ascii="Arial" w:hAnsi="Arial" w:cs="Arial"/>
          <w:lang w:val="fr-CA"/>
        </w:rPr>
      </w:pPr>
      <w:r w:rsidRPr="00C56C0E">
        <w:rPr>
          <w:rFonts w:ascii="Arial" w:hAnsi="Arial" w:cs="Arial"/>
          <w:lang w:val="fr-CA"/>
        </w:rPr>
        <w:t xml:space="preserve">Les principes de </w:t>
      </w:r>
      <w:r w:rsidR="00B82096">
        <w:rPr>
          <w:rFonts w:ascii="Arial" w:hAnsi="Arial" w:cs="Arial"/>
          <w:lang w:val="fr-CA"/>
        </w:rPr>
        <w:t xml:space="preserve">la </w:t>
      </w:r>
      <w:r w:rsidRPr="00C56C0E">
        <w:rPr>
          <w:rFonts w:ascii="Arial" w:hAnsi="Arial" w:cs="Arial"/>
          <w:lang w:val="fr-CA"/>
        </w:rPr>
        <w:t>politique décrits dans les présentes sont destinés à servir de lignes directrices pour l’établissement des exigences de financement. Nonobstant toute disposition contraire dans la présente politique de financement, l</w:t>
      </w:r>
      <w:r w:rsidR="00B82096">
        <w:rPr>
          <w:rFonts w:ascii="Arial" w:hAnsi="Arial" w:cs="Arial"/>
          <w:lang w:val="fr-CA"/>
        </w:rPr>
        <w:t xml:space="preserve">a Fiducie </w:t>
      </w:r>
      <w:r w:rsidRPr="00C56C0E">
        <w:rPr>
          <w:rFonts w:ascii="Arial" w:hAnsi="Arial" w:cs="Arial"/>
          <w:lang w:val="fr-CA"/>
        </w:rPr>
        <w:t>se conformera à toutes les exigences législatives et réglementaires applicables.</w:t>
      </w:r>
    </w:p>
    <w:p w14:paraId="7D1F406E" w14:textId="77777777" w:rsidR="00CC4BA6" w:rsidRDefault="00CC4BA6" w:rsidP="00B82096">
      <w:pPr>
        <w:spacing w:line="264" w:lineRule="auto"/>
        <w:rPr>
          <w:rFonts w:ascii="Arial" w:eastAsia="Arial" w:hAnsi="Arial" w:cs="Arial"/>
          <w:b/>
        </w:rPr>
      </w:pPr>
    </w:p>
    <w:p w14:paraId="32F7B532" w14:textId="1BB1C086" w:rsidR="00CC4BA6" w:rsidRPr="00B82096" w:rsidRDefault="001466D1" w:rsidP="00487763">
      <w:pPr>
        <w:numPr>
          <w:ilvl w:val="1"/>
          <w:numId w:val="7"/>
        </w:numPr>
        <w:spacing w:line="264" w:lineRule="auto"/>
        <w:ind w:left="1260" w:hanging="693"/>
        <w:rPr>
          <w:rFonts w:ascii="Arial" w:eastAsia="Arial" w:hAnsi="Arial" w:cs="Arial"/>
          <w:lang w:val="fr-CA"/>
        </w:rPr>
      </w:pPr>
      <w:r w:rsidRPr="00B82096">
        <w:rPr>
          <w:rFonts w:ascii="Arial" w:eastAsia="Arial" w:hAnsi="Arial" w:cs="Arial"/>
          <w:b/>
          <w:lang w:val="fr-CA"/>
        </w:rPr>
        <w:t>Respons</w:t>
      </w:r>
      <w:r w:rsidR="00C56C0E" w:rsidRPr="00B82096">
        <w:rPr>
          <w:rFonts w:ascii="Arial" w:eastAsia="Arial" w:hAnsi="Arial" w:cs="Arial"/>
          <w:b/>
          <w:lang w:val="fr-CA"/>
        </w:rPr>
        <w:t>abilité</w:t>
      </w:r>
    </w:p>
    <w:p w14:paraId="0FCDA65F" w14:textId="77777777" w:rsidR="003579EF" w:rsidRDefault="003579EF" w:rsidP="003579EF">
      <w:pPr>
        <w:spacing w:before="120" w:line="264" w:lineRule="auto"/>
        <w:ind w:left="1260"/>
        <w:rPr>
          <w:rFonts w:ascii="Arial" w:eastAsia="Arial" w:hAnsi="Arial" w:cs="Arial"/>
        </w:rPr>
      </w:pPr>
      <w:r w:rsidRPr="003579EF">
        <w:rPr>
          <w:rFonts w:ascii="Arial" w:hAnsi="Arial" w:cs="Arial"/>
          <w:lang w:val="fr-CA"/>
        </w:rPr>
        <w:t>Les fiduciaires ont la responsabilité ultime d</w:t>
      </w:r>
      <w:r>
        <w:rPr>
          <w:rFonts w:ascii="Arial" w:hAnsi="Arial" w:cs="Arial"/>
          <w:lang w:val="fr-CA"/>
        </w:rPr>
        <w:t>u fonctionnement de la Fiducie</w:t>
      </w:r>
      <w:r w:rsidRPr="003579EF">
        <w:rPr>
          <w:rFonts w:ascii="Arial" w:hAnsi="Arial" w:cs="Arial"/>
          <w:lang w:val="fr-CA"/>
        </w:rPr>
        <w:t>.</w:t>
      </w:r>
    </w:p>
    <w:p w14:paraId="4D371716" w14:textId="5F74354B" w:rsidR="003579EF" w:rsidRPr="003579EF" w:rsidRDefault="003579EF" w:rsidP="003579EF">
      <w:pPr>
        <w:spacing w:before="120" w:line="264" w:lineRule="auto"/>
        <w:ind w:left="1267"/>
        <w:rPr>
          <w:rFonts w:ascii="Arial" w:eastAsia="Arial" w:hAnsi="Arial" w:cs="Arial"/>
        </w:rPr>
      </w:pPr>
      <w:r w:rsidRPr="003579EF">
        <w:rPr>
          <w:rFonts w:ascii="Arial" w:hAnsi="Arial" w:cs="Arial"/>
          <w:lang w:val="fr-CA"/>
        </w:rPr>
        <w:t xml:space="preserve">En ce qui concerne la gestion financière de la </w:t>
      </w:r>
      <w:r>
        <w:rPr>
          <w:rFonts w:ascii="Arial" w:hAnsi="Arial" w:cs="Arial"/>
          <w:lang w:val="fr-CA"/>
        </w:rPr>
        <w:t>F</w:t>
      </w:r>
      <w:r w:rsidRPr="003579EF">
        <w:rPr>
          <w:rFonts w:ascii="Arial" w:hAnsi="Arial" w:cs="Arial"/>
          <w:lang w:val="fr-CA"/>
        </w:rPr>
        <w:t xml:space="preserve">iducie, et en plus des responsabilités décrites dans toute autre politique des fiduciaires, les responsabilités spécifiques des fiduciaires en ce qui concerne le financement de la </w:t>
      </w:r>
      <w:r>
        <w:rPr>
          <w:rFonts w:ascii="Arial" w:hAnsi="Arial" w:cs="Arial"/>
          <w:lang w:val="fr-CA"/>
        </w:rPr>
        <w:t>F</w:t>
      </w:r>
      <w:r w:rsidRPr="003579EF">
        <w:rPr>
          <w:rFonts w:ascii="Arial" w:hAnsi="Arial" w:cs="Arial"/>
          <w:lang w:val="fr-CA"/>
        </w:rPr>
        <w:t>iducie sont les suivantes :</w:t>
      </w:r>
    </w:p>
    <w:p w14:paraId="193170E5" w14:textId="77777777" w:rsidR="003579EF" w:rsidRDefault="003579EF" w:rsidP="00487763">
      <w:pPr>
        <w:spacing w:line="264" w:lineRule="auto"/>
        <w:ind w:left="1260"/>
        <w:rPr>
          <w:rFonts w:ascii="Arial" w:eastAsia="Arial" w:hAnsi="Arial" w:cs="Arial"/>
        </w:rPr>
      </w:pPr>
    </w:p>
    <w:p w14:paraId="7A395DEF" w14:textId="6E6E4DB1" w:rsidR="0045339C" w:rsidRDefault="0045339C" w:rsidP="0045339C">
      <w:pPr>
        <w:pStyle w:val="ListParagraph"/>
        <w:numPr>
          <w:ilvl w:val="0"/>
          <w:numId w:val="8"/>
        </w:numPr>
        <w:spacing w:before="120" w:line="264" w:lineRule="auto"/>
        <w:ind w:left="1713" w:hanging="446"/>
        <w:rPr>
          <w:rFonts w:ascii="Arial" w:hAnsi="Arial" w:cs="Arial"/>
          <w:lang w:val="fr-CA"/>
        </w:rPr>
      </w:pPr>
      <w:r w:rsidRPr="0045339C">
        <w:rPr>
          <w:rFonts w:ascii="Arial" w:hAnsi="Arial" w:cs="Arial"/>
          <w:lang w:val="fr-CA"/>
        </w:rPr>
        <w:t xml:space="preserve">Assurer un financement adéquat de sorte que les actifs et les cotisations prévues sont suffisants pour répondre aux obligations de la </w:t>
      </w:r>
      <w:r>
        <w:rPr>
          <w:rFonts w:ascii="Arial" w:hAnsi="Arial" w:cs="Arial"/>
          <w:lang w:val="fr-CA"/>
        </w:rPr>
        <w:t>F</w:t>
      </w:r>
      <w:r w:rsidRPr="0045339C">
        <w:rPr>
          <w:rFonts w:ascii="Arial" w:hAnsi="Arial" w:cs="Arial"/>
          <w:lang w:val="fr-CA"/>
        </w:rPr>
        <w:t>iducie</w:t>
      </w:r>
    </w:p>
    <w:p w14:paraId="05D58F51" w14:textId="764FB088" w:rsidR="0045339C" w:rsidRPr="0045339C" w:rsidRDefault="0045339C" w:rsidP="0045339C">
      <w:pPr>
        <w:pStyle w:val="ListParagraph"/>
        <w:numPr>
          <w:ilvl w:val="0"/>
          <w:numId w:val="8"/>
        </w:numPr>
        <w:spacing w:before="120" w:line="264" w:lineRule="auto"/>
        <w:ind w:left="1713" w:hanging="446"/>
        <w:rPr>
          <w:rFonts w:ascii="Arial" w:hAnsi="Arial" w:cs="Arial"/>
          <w:lang w:val="fr-CA"/>
        </w:rPr>
      </w:pPr>
      <w:r w:rsidRPr="0045339C">
        <w:rPr>
          <w:rFonts w:ascii="Arial" w:hAnsi="Arial" w:cs="Arial"/>
          <w:lang w:val="fr-CA"/>
        </w:rPr>
        <w:t xml:space="preserve">Faire préparer des évaluations et des projections actuarielles afin de faciliter les décisions relatives à la politique de financement </w:t>
      </w:r>
    </w:p>
    <w:p w14:paraId="6CE7C2B5" w14:textId="7E816A60" w:rsidR="0045339C" w:rsidRPr="0045339C" w:rsidRDefault="0045339C" w:rsidP="0045339C">
      <w:pPr>
        <w:pStyle w:val="ListParagraph"/>
        <w:numPr>
          <w:ilvl w:val="0"/>
          <w:numId w:val="8"/>
        </w:numPr>
        <w:spacing w:before="120" w:line="264" w:lineRule="auto"/>
        <w:ind w:left="1713" w:hanging="446"/>
        <w:rPr>
          <w:rFonts w:ascii="Arial" w:hAnsi="Arial" w:cs="Arial"/>
          <w:lang w:val="fr-CA"/>
        </w:rPr>
      </w:pPr>
      <w:r w:rsidRPr="0045339C">
        <w:rPr>
          <w:rFonts w:ascii="Arial" w:hAnsi="Arial" w:cs="Arial"/>
          <w:lang w:val="fr-CA"/>
        </w:rPr>
        <w:t>Prendre et mettre en œuvre des décisions concernant les coûts d’administration ou de prestation du régime et les dépenses d’investissement</w:t>
      </w:r>
    </w:p>
    <w:p w14:paraId="12258102" w14:textId="01EB2706" w:rsidR="0045339C" w:rsidRPr="0045339C" w:rsidRDefault="0045339C" w:rsidP="0045339C">
      <w:pPr>
        <w:pStyle w:val="ListParagraph"/>
        <w:numPr>
          <w:ilvl w:val="0"/>
          <w:numId w:val="8"/>
        </w:numPr>
        <w:spacing w:before="120" w:line="264" w:lineRule="auto"/>
        <w:ind w:left="1713" w:hanging="446"/>
        <w:rPr>
          <w:rFonts w:ascii="Arial" w:hAnsi="Arial" w:cs="Arial"/>
          <w:lang w:val="fr-CA"/>
        </w:rPr>
      </w:pPr>
      <w:r w:rsidRPr="0045339C">
        <w:rPr>
          <w:rFonts w:ascii="Arial" w:hAnsi="Arial" w:cs="Arial"/>
          <w:lang w:val="fr-CA"/>
        </w:rPr>
        <w:t xml:space="preserve">Prendre et mettre en œuvre des décisions concernant l’admissibilité aux prestations en vertu des régimes administrés par les fiduciaires et l’établissement des dispositions relatives aux prestations de la </w:t>
      </w:r>
      <w:r>
        <w:rPr>
          <w:rFonts w:ascii="Arial" w:hAnsi="Arial" w:cs="Arial"/>
          <w:lang w:val="fr-CA"/>
        </w:rPr>
        <w:t>F</w:t>
      </w:r>
      <w:r w:rsidRPr="0045339C">
        <w:rPr>
          <w:rFonts w:ascii="Arial" w:hAnsi="Arial" w:cs="Arial"/>
          <w:lang w:val="fr-CA"/>
        </w:rPr>
        <w:t>iducie, y compris toute amélioration ou réduction des prestations et la modification du niveau des cotisations des participants au régime.</w:t>
      </w:r>
    </w:p>
    <w:p w14:paraId="7BCB414F" w14:textId="77777777" w:rsidR="00CC4BA6" w:rsidRDefault="001466D1" w:rsidP="00487763">
      <w:pPr>
        <w:spacing w:line="264" w:lineRule="auto"/>
      </w:pPr>
      <w:r>
        <w:br w:type="page"/>
      </w:r>
    </w:p>
    <w:p w14:paraId="3F95697D" w14:textId="3C62F72C" w:rsidR="00CC4BA6" w:rsidRPr="00403F85" w:rsidRDefault="001466D1" w:rsidP="00487763">
      <w:pPr>
        <w:pStyle w:val="Heading1"/>
        <w:numPr>
          <w:ilvl w:val="0"/>
          <w:numId w:val="7"/>
        </w:numPr>
        <w:spacing w:before="0" w:line="264" w:lineRule="auto"/>
        <w:ind w:left="540" w:hanging="540"/>
        <w:rPr>
          <w:color w:val="000000"/>
          <w:sz w:val="22"/>
          <w:lang w:val="fr-CA"/>
        </w:rPr>
      </w:pPr>
      <w:bookmarkStart w:id="4" w:name="_Toc68950161"/>
      <w:r w:rsidRPr="00403F85">
        <w:rPr>
          <w:color w:val="000000"/>
          <w:lang w:val="fr-CA"/>
        </w:rPr>
        <w:lastRenderedPageBreak/>
        <w:t>Consid</w:t>
      </w:r>
      <w:r w:rsidR="00403F85" w:rsidRPr="00403F85">
        <w:rPr>
          <w:color w:val="000000"/>
          <w:lang w:val="fr-CA"/>
        </w:rPr>
        <w:t>é</w:t>
      </w:r>
      <w:r w:rsidRPr="00403F85">
        <w:rPr>
          <w:color w:val="000000"/>
          <w:lang w:val="fr-CA"/>
        </w:rPr>
        <w:t>ration</w:t>
      </w:r>
      <w:r w:rsidR="00403F85" w:rsidRPr="00403F85">
        <w:rPr>
          <w:color w:val="000000"/>
          <w:lang w:val="fr-CA"/>
        </w:rPr>
        <w:t>s en matière de politique</w:t>
      </w:r>
      <w:bookmarkEnd w:id="4"/>
    </w:p>
    <w:p w14:paraId="61FCBFA4" w14:textId="77777777" w:rsidR="002771A9" w:rsidRPr="002771A9" w:rsidRDefault="002771A9" w:rsidP="00487763">
      <w:pPr>
        <w:spacing w:line="264" w:lineRule="auto"/>
        <w:ind w:left="576"/>
        <w:rPr>
          <w:rFonts w:ascii="Arial" w:eastAsia="Arial" w:hAnsi="Arial" w:cs="Arial"/>
        </w:rPr>
      </w:pPr>
    </w:p>
    <w:p w14:paraId="3850F19C" w14:textId="124B30EA" w:rsidR="00CC4BA6" w:rsidRPr="00CD6EE3" w:rsidRDefault="001466D1" w:rsidP="00487763">
      <w:pPr>
        <w:numPr>
          <w:ilvl w:val="1"/>
          <w:numId w:val="7"/>
        </w:numPr>
        <w:spacing w:line="264" w:lineRule="auto"/>
        <w:ind w:left="1260" w:hanging="684"/>
        <w:rPr>
          <w:rFonts w:ascii="Arial" w:eastAsia="Arial" w:hAnsi="Arial" w:cs="Arial"/>
          <w:lang w:val="fr-CA"/>
        </w:rPr>
      </w:pPr>
      <w:r w:rsidRPr="00CD6EE3">
        <w:rPr>
          <w:rFonts w:ascii="Arial" w:eastAsia="Arial" w:hAnsi="Arial" w:cs="Arial"/>
          <w:b/>
          <w:lang w:val="fr-CA"/>
        </w:rPr>
        <w:t xml:space="preserve">Nature </w:t>
      </w:r>
      <w:r w:rsidR="00CD6EE3" w:rsidRPr="00CD6EE3">
        <w:rPr>
          <w:rFonts w:ascii="Arial" w:eastAsia="Arial" w:hAnsi="Arial" w:cs="Arial"/>
          <w:b/>
          <w:lang w:val="fr-CA"/>
        </w:rPr>
        <w:t>de la Fiducie</w:t>
      </w:r>
    </w:p>
    <w:p w14:paraId="37F62E6C" w14:textId="5701A418" w:rsidR="00D70651" w:rsidRDefault="00D70651" w:rsidP="00EC7374">
      <w:pPr>
        <w:spacing w:before="120" w:line="264" w:lineRule="auto"/>
        <w:ind w:left="1267"/>
        <w:rPr>
          <w:rFonts w:ascii="Arial" w:hAnsi="Arial" w:cs="Arial"/>
          <w:lang w:val="fr-CA"/>
        </w:rPr>
      </w:pPr>
      <w:r>
        <w:rPr>
          <w:rFonts w:ascii="Arial" w:hAnsi="Arial" w:cs="Arial"/>
          <w:lang w:val="fr-CA"/>
        </w:rPr>
        <w:t>La F</w:t>
      </w:r>
      <w:r w:rsidRPr="00D70651">
        <w:rPr>
          <w:rFonts w:ascii="Arial" w:hAnsi="Arial" w:cs="Arial"/>
          <w:lang w:val="fr-CA"/>
        </w:rPr>
        <w:t>iducie est le résultat de négociations entre la Fédération des enseignantes</w:t>
      </w:r>
      <w:r>
        <w:rPr>
          <w:rFonts w:ascii="Arial" w:hAnsi="Arial" w:cs="Arial"/>
          <w:lang w:val="fr-CA"/>
        </w:rPr>
        <w:t>-</w:t>
      </w:r>
      <w:r w:rsidRPr="00D70651">
        <w:rPr>
          <w:rFonts w:ascii="Arial" w:hAnsi="Arial" w:cs="Arial"/>
          <w:lang w:val="fr-CA"/>
        </w:rPr>
        <w:t xml:space="preserve">enseignants des écoles secondaires de l’Ontario, le gouvernement de l’Ontario (la </w:t>
      </w:r>
      <w:r>
        <w:rPr>
          <w:rFonts w:ascii="Arial" w:hAnsi="Arial" w:cs="Arial"/>
          <w:lang w:val="fr-CA"/>
        </w:rPr>
        <w:t>« </w:t>
      </w:r>
      <w:r w:rsidRPr="00D70651">
        <w:rPr>
          <w:rFonts w:ascii="Arial" w:hAnsi="Arial" w:cs="Arial"/>
          <w:lang w:val="fr-CA"/>
        </w:rPr>
        <w:t>Couronne</w:t>
      </w:r>
      <w:r>
        <w:rPr>
          <w:rFonts w:ascii="Arial" w:hAnsi="Arial" w:cs="Arial"/>
          <w:lang w:val="fr-CA"/>
        </w:rPr>
        <w:t> »</w:t>
      </w:r>
      <w:r w:rsidRPr="00D70651">
        <w:rPr>
          <w:rFonts w:ascii="Arial" w:hAnsi="Arial" w:cs="Arial"/>
          <w:lang w:val="fr-CA"/>
        </w:rPr>
        <w:t>) et l’</w:t>
      </w:r>
      <w:r w:rsidRPr="00D70651">
        <w:rPr>
          <w:rFonts w:ascii="Arial" w:hAnsi="Arial" w:cs="Arial"/>
          <w:i/>
          <w:lang w:val="fr-CA"/>
        </w:rPr>
        <w:t xml:space="preserve">Ontario Public </w:t>
      </w:r>
      <w:proofErr w:type="spellStart"/>
      <w:r w:rsidRPr="00D70651">
        <w:rPr>
          <w:rFonts w:ascii="Arial" w:hAnsi="Arial" w:cs="Arial"/>
          <w:i/>
          <w:lang w:val="fr-CA"/>
        </w:rPr>
        <w:t>School</w:t>
      </w:r>
      <w:proofErr w:type="spellEnd"/>
      <w:r w:rsidRPr="00D70651">
        <w:rPr>
          <w:rFonts w:ascii="Arial" w:hAnsi="Arial" w:cs="Arial"/>
          <w:i/>
          <w:lang w:val="fr-CA"/>
        </w:rPr>
        <w:t xml:space="preserve"> </w:t>
      </w:r>
      <w:proofErr w:type="spellStart"/>
      <w:r w:rsidRPr="00D70651">
        <w:rPr>
          <w:rFonts w:ascii="Arial" w:hAnsi="Arial" w:cs="Arial"/>
          <w:i/>
          <w:lang w:val="fr-CA"/>
        </w:rPr>
        <w:t>Boards</w:t>
      </w:r>
      <w:proofErr w:type="spellEnd"/>
      <w:r w:rsidRPr="00D70651">
        <w:rPr>
          <w:rFonts w:ascii="Arial" w:hAnsi="Arial" w:cs="Arial"/>
          <w:i/>
          <w:lang w:val="fr-CA"/>
        </w:rPr>
        <w:t xml:space="preserve">’ Association </w:t>
      </w:r>
      <w:r w:rsidRPr="00D70651">
        <w:rPr>
          <w:rFonts w:ascii="Arial" w:hAnsi="Arial" w:cs="Arial"/>
          <w:lang w:val="fr-CA"/>
        </w:rPr>
        <w:t xml:space="preserve">(OPSBA). Les parties ont convenu d’un taux de cotisation patronale fixe </w:t>
      </w:r>
      <w:proofErr w:type="gramStart"/>
      <w:r w:rsidRPr="00D70651">
        <w:rPr>
          <w:rFonts w:ascii="Arial" w:hAnsi="Arial" w:cs="Arial"/>
          <w:lang w:val="fr-CA"/>
        </w:rPr>
        <w:t>négocié</w:t>
      </w:r>
      <w:proofErr w:type="gramEnd"/>
      <w:r w:rsidRPr="00D70651">
        <w:rPr>
          <w:rFonts w:ascii="Arial" w:hAnsi="Arial" w:cs="Arial"/>
          <w:lang w:val="fr-CA"/>
        </w:rPr>
        <w:t xml:space="preserve"> collectivement, plus un financement supplémentaire pour les coûts de mise en œuvre et pour établir une réserve </w:t>
      </w:r>
      <w:r>
        <w:rPr>
          <w:rFonts w:ascii="Arial" w:hAnsi="Arial" w:cs="Arial"/>
          <w:lang w:val="fr-CA"/>
        </w:rPr>
        <w:t xml:space="preserve">pour </w:t>
      </w:r>
      <w:r w:rsidRPr="00D70651">
        <w:rPr>
          <w:rFonts w:ascii="Arial" w:hAnsi="Arial" w:cs="Arial"/>
          <w:lang w:val="fr-CA"/>
        </w:rPr>
        <w:t>fluctuation des</w:t>
      </w:r>
      <w:r w:rsidR="00763CE0">
        <w:rPr>
          <w:rFonts w:ascii="Arial" w:hAnsi="Arial" w:cs="Arial"/>
          <w:lang w:val="fr-CA"/>
        </w:rPr>
        <w:t xml:space="preserve"> demandes de règlement</w:t>
      </w:r>
      <w:r w:rsidRPr="00D70651">
        <w:rPr>
          <w:rFonts w:ascii="Arial" w:hAnsi="Arial" w:cs="Arial"/>
          <w:lang w:val="fr-CA"/>
        </w:rPr>
        <w:t xml:space="preserve">. </w:t>
      </w:r>
    </w:p>
    <w:p w14:paraId="21D56D74" w14:textId="4ABB437A" w:rsidR="00CC4BA6" w:rsidRPr="00D70651" w:rsidRDefault="00D70651" w:rsidP="00EC7374">
      <w:pPr>
        <w:spacing w:before="120" w:line="264" w:lineRule="auto"/>
        <w:ind w:left="1267"/>
        <w:rPr>
          <w:rFonts w:ascii="Arial" w:hAnsi="Arial" w:cs="Arial"/>
          <w:lang w:val="fr-CA"/>
        </w:rPr>
      </w:pPr>
      <w:r w:rsidRPr="00D70651">
        <w:rPr>
          <w:rFonts w:ascii="Arial" w:hAnsi="Arial" w:cs="Arial"/>
          <w:lang w:val="fr-CA"/>
        </w:rPr>
        <w:t xml:space="preserve">OSSTF </w:t>
      </w:r>
      <w:proofErr w:type="spellStart"/>
      <w:r w:rsidRPr="00D70651">
        <w:rPr>
          <w:rFonts w:ascii="Arial" w:hAnsi="Arial" w:cs="Arial"/>
          <w:lang w:val="fr-CA"/>
        </w:rPr>
        <w:t>Benefits</w:t>
      </w:r>
      <w:proofErr w:type="spellEnd"/>
      <w:r w:rsidRPr="00D70651">
        <w:rPr>
          <w:rFonts w:ascii="Arial" w:hAnsi="Arial" w:cs="Arial"/>
          <w:lang w:val="fr-CA"/>
        </w:rPr>
        <w:t xml:space="preserve"> a été créée le 6 octobre 2016 et est une fiducie indépendante dans le seul but de fournir des avantages sociaux désignés aux bénéficiaires de la fiducie, comme indiqué ci-dessous et dans l’accord de </w:t>
      </w:r>
      <w:r>
        <w:rPr>
          <w:rFonts w:ascii="Arial" w:hAnsi="Arial" w:cs="Arial"/>
          <w:lang w:val="fr-CA"/>
        </w:rPr>
        <w:t>F</w:t>
      </w:r>
      <w:r w:rsidRPr="00D70651">
        <w:rPr>
          <w:rFonts w:ascii="Arial" w:hAnsi="Arial" w:cs="Arial"/>
          <w:lang w:val="fr-CA"/>
        </w:rPr>
        <w:t xml:space="preserve">iducie. Les dépenses associées à la gestion et à l’administration de la </w:t>
      </w:r>
      <w:r>
        <w:rPr>
          <w:rFonts w:ascii="Arial" w:hAnsi="Arial" w:cs="Arial"/>
          <w:lang w:val="fr-CA"/>
        </w:rPr>
        <w:t>F</w:t>
      </w:r>
      <w:r w:rsidRPr="00D70651">
        <w:rPr>
          <w:rFonts w:ascii="Arial" w:hAnsi="Arial" w:cs="Arial"/>
          <w:lang w:val="fr-CA"/>
        </w:rPr>
        <w:t xml:space="preserve">iducie seront payées par </w:t>
      </w:r>
      <w:r>
        <w:rPr>
          <w:rFonts w:ascii="Arial" w:hAnsi="Arial" w:cs="Arial"/>
          <w:lang w:val="fr-CA"/>
        </w:rPr>
        <w:t>celle-ci</w:t>
      </w:r>
      <w:r w:rsidR="001466D1">
        <w:rPr>
          <w:rFonts w:ascii="Arial" w:eastAsia="Arial" w:hAnsi="Arial" w:cs="Arial"/>
        </w:rPr>
        <w:t>.</w:t>
      </w:r>
    </w:p>
    <w:p w14:paraId="13D4AF85" w14:textId="77777777" w:rsidR="002771A9" w:rsidRPr="002771A9" w:rsidRDefault="002771A9" w:rsidP="00487763">
      <w:pPr>
        <w:spacing w:line="264" w:lineRule="auto"/>
        <w:ind w:left="360"/>
        <w:rPr>
          <w:rFonts w:ascii="Arial" w:eastAsia="Arial" w:hAnsi="Arial" w:cs="Arial"/>
        </w:rPr>
      </w:pPr>
    </w:p>
    <w:p w14:paraId="615E3384" w14:textId="53B2D519" w:rsidR="00CC4BA6" w:rsidRPr="00B12BCA" w:rsidRDefault="001466D1" w:rsidP="00487763">
      <w:pPr>
        <w:numPr>
          <w:ilvl w:val="1"/>
          <w:numId w:val="7"/>
        </w:numPr>
        <w:spacing w:line="264" w:lineRule="auto"/>
        <w:ind w:left="1260" w:hanging="684"/>
        <w:rPr>
          <w:rFonts w:ascii="Arial" w:eastAsia="Arial" w:hAnsi="Arial" w:cs="Arial"/>
          <w:lang w:val="fr-CA"/>
        </w:rPr>
      </w:pPr>
      <w:r w:rsidRPr="00B12BCA">
        <w:rPr>
          <w:rFonts w:ascii="Arial" w:eastAsia="Arial" w:hAnsi="Arial" w:cs="Arial"/>
          <w:b/>
          <w:lang w:val="fr-CA"/>
        </w:rPr>
        <w:t>Structure</w:t>
      </w:r>
      <w:r w:rsidR="00227C95">
        <w:rPr>
          <w:rFonts w:ascii="Arial" w:eastAsia="Arial" w:hAnsi="Arial" w:cs="Arial"/>
          <w:b/>
          <w:lang w:val="fr-CA"/>
        </w:rPr>
        <w:t xml:space="preserve"> du passif</w:t>
      </w:r>
    </w:p>
    <w:p w14:paraId="75EB439D" w14:textId="1B3AF86B" w:rsidR="00CC4BA6" w:rsidRPr="00C63550" w:rsidRDefault="00227C95" w:rsidP="00487763">
      <w:pPr>
        <w:numPr>
          <w:ilvl w:val="0"/>
          <w:numId w:val="1"/>
        </w:numPr>
        <w:spacing w:before="120" w:line="264" w:lineRule="auto"/>
        <w:ind w:left="1627" w:hanging="360"/>
        <w:rPr>
          <w:rFonts w:ascii="Arial" w:eastAsia="Arial" w:hAnsi="Arial" w:cs="Arial"/>
          <w:lang w:val="fr-CA"/>
        </w:rPr>
      </w:pPr>
      <w:r>
        <w:rPr>
          <w:rFonts w:ascii="Arial" w:eastAsia="Arial" w:hAnsi="Arial" w:cs="Arial"/>
          <w:lang w:val="fr-CA"/>
        </w:rPr>
        <w:t xml:space="preserve">Participants à </w:t>
      </w:r>
      <w:r w:rsidR="00C63550" w:rsidRPr="00C63550">
        <w:rPr>
          <w:rFonts w:ascii="Arial" w:eastAsia="Arial" w:hAnsi="Arial" w:cs="Arial"/>
          <w:lang w:val="fr-CA"/>
        </w:rPr>
        <w:t>la Fiducie</w:t>
      </w:r>
    </w:p>
    <w:p w14:paraId="2C7F3927" w14:textId="325B072D" w:rsidR="00C63550" w:rsidRPr="00C63550" w:rsidRDefault="00C63550" w:rsidP="00EC7374">
      <w:pPr>
        <w:spacing w:before="120" w:line="264" w:lineRule="auto"/>
        <w:ind w:left="1627"/>
        <w:rPr>
          <w:rFonts w:ascii="Arial" w:eastAsia="Arial" w:hAnsi="Arial" w:cs="Arial"/>
        </w:rPr>
      </w:pPr>
      <w:r>
        <w:rPr>
          <w:rFonts w:ascii="Arial" w:hAnsi="Arial" w:cs="Arial"/>
          <w:lang w:val="fr-CA"/>
        </w:rPr>
        <w:t xml:space="preserve">La Fiducie </w:t>
      </w:r>
      <w:r w:rsidRPr="00C63550">
        <w:rPr>
          <w:rFonts w:ascii="Arial" w:hAnsi="Arial" w:cs="Arial"/>
          <w:lang w:val="fr-CA"/>
        </w:rPr>
        <w:t xml:space="preserve">offre des avantages </w:t>
      </w:r>
      <w:r>
        <w:rPr>
          <w:rFonts w:ascii="Arial" w:hAnsi="Arial" w:cs="Arial"/>
          <w:lang w:val="fr-CA"/>
        </w:rPr>
        <w:t xml:space="preserve">sociaux </w:t>
      </w:r>
      <w:r w:rsidRPr="00C63550">
        <w:rPr>
          <w:rFonts w:ascii="Arial" w:hAnsi="Arial" w:cs="Arial"/>
          <w:lang w:val="fr-CA"/>
        </w:rPr>
        <w:t>aux personnes admissibles représentées par la Fédération des enseignantes</w:t>
      </w:r>
      <w:r>
        <w:rPr>
          <w:rFonts w:ascii="Arial" w:hAnsi="Arial" w:cs="Arial"/>
          <w:lang w:val="fr-CA"/>
        </w:rPr>
        <w:t>-</w:t>
      </w:r>
      <w:r w:rsidRPr="00C63550">
        <w:rPr>
          <w:rFonts w:ascii="Arial" w:hAnsi="Arial" w:cs="Arial"/>
          <w:lang w:val="fr-CA"/>
        </w:rPr>
        <w:t xml:space="preserve">enseignants des écoles secondaires de l’Ontario. Chaque conseil scolaire de l’Ontario fournira des données </w:t>
      </w:r>
      <w:r>
        <w:rPr>
          <w:rFonts w:ascii="Arial" w:hAnsi="Arial" w:cs="Arial"/>
          <w:lang w:val="fr-CA"/>
        </w:rPr>
        <w:t xml:space="preserve">à la Fiducie </w:t>
      </w:r>
      <w:r w:rsidRPr="00C63550">
        <w:rPr>
          <w:rFonts w:ascii="Arial" w:hAnsi="Arial" w:cs="Arial"/>
          <w:lang w:val="fr-CA"/>
        </w:rPr>
        <w:t>aux fins de l’administration d</w:t>
      </w:r>
      <w:r>
        <w:rPr>
          <w:rFonts w:ascii="Arial" w:hAnsi="Arial" w:cs="Arial"/>
          <w:lang w:val="fr-CA"/>
        </w:rPr>
        <w:t>e la Fiducie</w:t>
      </w:r>
      <w:r w:rsidRPr="00C63550">
        <w:rPr>
          <w:rFonts w:ascii="Arial" w:hAnsi="Arial" w:cs="Arial"/>
          <w:lang w:val="fr-CA"/>
        </w:rPr>
        <w:t xml:space="preserve">. </w:t>
      </w:r>
    </w:p>
    <w:p w14:paraId="2582881F" w14:textId="7F2477CF" w:rsidR="00CC4BA6" w:rsidRPr="00C63550" w:rsidRDefault="00C63550" w:rsidP="00487763">
      <w:pPr>
        <w:numPr>
          <w:ilvl w:val="0"/>
          <w:numId w:val="1"/>
        </w:numPr>
        <w:spacing w:before="120" w:line="264" w:lineRule="auto"/>
        <w:ind w:left="1627" w:hanging="360"/>
        <w:rPr>
          <w:rFonts w:ascii="Arial" w:eastAsia="Arial" w:hAnsi="Arial" w:cs="Arial"/>
          <w:lang w:val="fr-CA"/>
        </w:rPr>
      </w:pPr>
      <w:r w:rsidRPr="00C63550">
        <w:rPr>
          <w:rFonts w:ascii="Arial" w:eastAsia="Arial" w:hAnsi="Arial" w:cs="Arial"/>
          <w:lang w:val="fr-CA"/>
        </w:rPr>
        <w:t>Prestations</w:t>
      </w:r>
    </w:p>
    <w:p w14:paraId="1BE65B79" w14:textId="44F5EBED" w:rsidR="00EC7374" w:rsidRPr="00EC7374" w:rsidRDefault="00EC7374" w:rsidP="00EC7374">
      <w:pPr>
        <w:spacing w:before="120" w:line="264" w:lineRule="auto"/>
        <w:ind w:left="1627"/>
        <w:rPr>
          <w:rFonts w:ascii="Arial" w:eastAsia="Arial" w:hAnsi="Arial" w:cs="Arial"/>
        </w:rPr>
      </w:pPr>
      <w:r w:rsidRPr="00EC7374">
        <w:rPr>
          <w:rFonts w:ascii="Arial" w:hAnsi="Arial" w:cs="Arial"/>
          <w:lang w:val="fr-CA"/>
        </w:rPr>
        <w:t>L</w:t>
      </w:r>
      <w:r>
        <w:rPr>
          <w:rFonts w:ascii="Arial" w:hAnsi="Arial" w:cs="Arial"/>
          <w:lang w:val="fr-CA"/>
        </w:rPr>
        <w:t>a Fiducie</w:t>
      </w:r>
      <w:r w:rsidRPr="00EC7374">
        <w:rPr>
          <w:rFonts w:ascii="Arial" w:hAnsi="Arial" w:cs="Arial"/>
          <w:lang w:val="fr-CA"/>
        </w:rPr>
        <w:t xml:space="preserve"> offre aux employés désignés des prestations de soins de santé et de soins dentaires et des prestations d’assurance-vie, y compris des prestations de décès et de mutilation accidentels, de deuxième avis médical et de soutien à la navigation.  </w:t>
      </w:r>
    </w:p>
    <w:p w14:paraId="4E877787" w14:textId="64C0B287" w:rsidR="00CC4BA6" w:rsidRPr="00EC7374" w:rsidRDefault="001466D1" w:rsidP="00487763">
      <w:pPr>
        <w:numPr>
          <w:ilvl w:val="0"/>
          <w:numId w:val="1"/>
        </w:numPr>
        <w:spacing w:before="120" w:line="264" w:lineRule="auto"/>
        <w:ind w:left="1627" w:hanging="360"/>
        <w:rPr>
          <w:rFonts w:ascii="Arial" w:eastAsia="Arial" w:hAnsi="Arial" w:cs="Arial"/>
          <w:lang w:val="fr-CA"/>
        </w:rPr>
      </w:pPr>
      <w:r w:rsidRPr="00EC7374">
        <w:rPr>
          <w:rFonts w:ascii="Arial" w:eastAsia="Arial" w:hAnsi="Arial" w:cs="Arial"/>
          <w:lang w:val="fr-CA"/>
        </w:rPr>
        <w:t xml:space="preserve">Nature </w:t>
      </w:r>
      <w:r w:rsidR="00EC7374">
        <w:rPr>
          <w:rFonts w:ascii="Arial" w:eastAsia="Arial" w:hAnsi="Arial" w:cs="Arial"/>
          <w:lang w:val="fr-CA"/>
        </w:rPr>
        <w:t>du passif</w:t>
      </w:r>
    </w:p>
    <w:p w14:paraId="77AC91D7" w14:textId="135292F0" w:rsidR="00150B7B" w:rsidRDefault="003C4307" w:rsidP="00150B7B">
      <w:pPr>
        <w:spacing w:before="120" w:line="264" w:lineRule="auto"/>
        <w:ind w:left="1627"/>
        <w:rPr>
          <w:rFonts w:ascii="Arial" w:eastAsia="Arial" w:hAnsi="Arial" w:cs="Arial"/>
        </w:rPr>
      </w:pPr>
      <w:r>
        <w:rPr>
          <w:rFonts w:ascii="Arial" w:hAnsi="Arial" w:cs="Arial"/>
          <w:lang w:val="fr-CA"/>
        </w:rPr>
        <w:t>Les prestations fournies par la</w:t>
      </w:r>
      <w:r w:rsidR="00EC7374" w:rsidRPr="00EC7374">
        <w:rPr>
          <w:rFonts w:ascii="Arial" w:hAnsi="Arial" w:cs="Arial"/>
          <w:lang w:val="fr-CA"/>
        </w:rPr>
        <w:t xml:space="preserve"> F</w:t>
      </w:r>
      <w:r>
        <w:rPr>
          <w:rFonts w:ascii="Arial" w:hAnsi="Arial" w:cs="Arial"/>
          <w:lang w:val="fr-CA"/>
        </w:rPr>
        <w:t>iducie</w:t>
      </w:r>
      <w:r w:rsidR="00EC7374" w:rsidRPr="00EC7374">
        <w:rPr>
          <w:rFonts w:ascii="Arial" w:hAnsi="Arial" w:cs="Arial"/>
          <w:lang w:val="fr-CA"/>
        </w:rPr>
        <w:t xml:space="preserve"> sont</w:t>
      </w:r>
      <w:r>
        <w:rPr>
          <w:rFonts w:ascii="Arial" w:hAnsi="Arial" w:cs="Arial"/>
          <w:lang w:val="fr-CA"/>
        </w:rPr>
        <w:t xml:space="preserve"> assujetties</w:t>
      </w:r>
      <w:r w:rsidR="00EC7374" w:rsidRPr="00EC7374">
        <w:rPr>
          <w:rFonts w:ascii="Arial" w:hAnsi="Arial" w:cs="Arial"/>
          <w:lang w:val="fr-CA"/>
        </w:rPr>
        <w:t xml:space="preserve"> à l’inflation en raison de l’augmentation prévue des coûts des prestations </w:t>
      </w:r>
      <w:r>
        <w:rPr>
          <w:rFonts w:ascii="Arial" w:hAnsi="Arial" w:cs="Arial"/>
          <w:lang w:val="fr-CA"/>
        </w:rPr>
        <w:t>offertes</w:t>
      </w:r>
      <w:r w:rsidR="00EC7374" w:rsidRPr="00EC7374">
        <w:rPr>
          <w:rFonts w:ascii="Arial" w:hAnsi="Arial" w:cs="Arial"/>
          <w:lang w:val="fr-CA"/>
        </w:rPr>
        <w:t>. Certains types de prestations peuvent connaître des augmentations de coûts importantes (p. ex., les nouveaux médicaments biologiques) et</w:t>
      </w:r>
      <w:r>
        <w:rPr>
          <w:rFonts w:ascii="Arial" w:hAnsi="Arial" w:cs="Arial"/>
          <w:lang w:val="fr-CA"/>
        </w:rPr>
        <w:t xml:space="preserve"> (</w:t>
      </w:r>
      <w:r w:rsidR="00EC7374" w:rsidRPr="00EC7374">
        <w:rPr>
          <w:rFonts w:ascii="Arial" w:hAnsi="Arial" w:cs="Arial"/>
          <w:lang w:val="fr-CA"/>
        </w:rPr>
        <w:t>ou</w:t>
      </w:r>
      <w:r>
        <w:rPr>
          <w:rFonts w:ascii="Arial" w:hAnsi="Arial" w:cs="Arial"/>
          <w:lang w:val="fr-CA"/>
        </w:rPr>
        <w:t>)</w:t>
      </w:r>
      <w:r w:rsidR="00EC7374" w:rsidRPr="00EC7374">
        <w:rPr>
          <w:rFonts w:ascii="Arial" w:hAnsi="Arial" w:cs="Arial"/>
          <w:lang w:val="fr-CA"/>
        </w:rPr>
        <w:t xml:space="preserve"> une volatilité dans les habitudes de </w:t>
      </w:r>
      <w:r w:rsidR="00763CE0">
        <w:rPr>
          <w:rFonts w:ascii="Arial" w:hAnsi="Arial" w:cs="Arial"/>
          <w:lang w:val="fr-CA"/>
        </w:rPr>
        <w:t>demandes de règlement</w:t>
      </w:r>
      <w:r w:rsidR="00EC7374" w:rsidRPr="00EC7374">
        <w:rPr>
          <w:rFonts w:ascii="Arial" w:hAnsi="Arial" w:cs="Arial"/>
          <w:lang w:val="fr-CA"/>
        </w:rPr>
        <w:t xml:space="preserve"> (p. ex., l’assurance-vie). D’autres prestations peuvent voir leur prix </w:t>
      </w:r>
      <w:r>
        <w:rPr>
          <w:rFonts w:ascii="Arial" w:hAnsi="Arial" w:cs="Arial"/>
          <w:lang w:val="fr-CA"/>
        </w:rPr>
        <w:t>diminuer</w:t>
      </w:r>
      <w:r w:rsidR="00EC7374" w:rsidRPr="00EC7374">
        <w:rPr>
          <w:rFonts w:ascii="Arial" w:hAnsi="Arial" w:cs="Arial"/>
          <w:lang w:val="fr-CA"/>
        </w:rPr>
        <w:t xml:space="preserve"> (p</w:t>
      </w:r>
      <w:r>
        <w:rPr>
          <w:rFonts w:ascii="Arial" w:hAnsi="Arial" w:cs="Arial"/>
          <w:lang w:val="fr-CA"/>
        </w:rPr>
        <w:t>.</w:t>
      </w:r>
      <w:r w:rsidR="00EC7374" w:rsidRPr="00EC7374">
        <w:rPr>
          <w:rFonts w:ascii="Arial" w:hAnsi="Arial" w:cs="Arial"/>
          <w:lang w:val="fr-CA"/>
        </w:rPr>
        <w:t xml:space="preserve"> ex</w:t>
      </w:r>
      <w:r>
        <w:rPr>
          <w:rFonts w:ascii="Arial" w:hAnsi="Arial" w:cs="Arial"/>
          <w:lang w:val="fr-CA"/>
        </w:rPr>
        <w:t>.</w:t>
      </w:r>
      <w:r w:rsidR="00EC7374" w:rsidRPr="00EC7374">
        <w:rPr>
          <w:rFonts w:ascii="Arial" w:hAnsi="Arial" w:cs="Arial"/>
          <w:lang w:val="fr-CA"/>
        </w:rPr>
        <w:t xml:space="preserve">, si le brevet d’un médicament expire ou si son prix réglementé diminue). </w:t>
      </w:r>
    </w:p>
    <w:p w14:paraId="783CFD87" w14:textId="3263DAF8" w:rsidR="00817ACA" w:rsidRPr="00150B7B" w:rsidRDefault="00817ACA" w:rsidP="00150B7B">
      <w:pPr>
        <w:spacing w:before="120" w:line="264" w:lineRule="auto"/>
        <w:ind w:left="1627" w:hanging="367"/>
        <w:rPr>
          <w:rFonts w:ascii="Arial" w:eastAsia="Arial" w:hAnsi="Arial" w:cs="Arial"/>
        </w:rPr>
      </w:pPr>
      <w:r w:rsidRPr="005C0014">
        <w:rPr>
          <w:rFonts w:ascii="Arial" w:eastAsia="Arial" w:hAnsi="Arial" w:cs="Arial"/>
          <w:lang w:val="fr-CA"/>
        </w:rPr>
        <w:t xml:space="preserve">d) </w:t>
      </w:r>
      <w:r w:rsidR="00C062F4" w:rsidRPr="005C0014">
        <w:rPr>
          <w:rFonts w:ascii="Arial" w:eastAsia="Arial" w:hAnsi="Arial" w:cs="Arial"/>
          <w:lang w:val="fr-CA"/>
        </w:rPr>
        <w:tab/>
      </w:r>
      <w:r w:rsidRPr="005C0014">
        <w:rPr>
          <w:rFonts w:ascii="Arial" w:eastAsia="Arial" w:hAnsi="Arial" w:cs="Arial"/>
          <w:lang w:val="fr-CA"/>
        </w:rPr>
        <w:t>I</w:t>
      </w:r>
      <w:r w:rsidR="005C0014">
        <w:rPr>
          <w:rFonts w:ascii="Arial" w:eastAsia="Arial" w:hAnsi="Arial" w:cs="Arial"/>
          <w:lang w:val="fr-CA"/>
        </w:rPr>
        <w:t>mposition sur le revenu d’</w:t>
      </w:r>
      <w:r w:rsidRPr="005C0014">
        <w:rPr>
          <w:rFonts w:ascii="Arial" w:eastAsia="Arial" w:hAnsi="Arial" w:cs="Arial"/>
          <w:lang w:val="fr-CA"/>
        </w:rPr>
        <w:t xml:space="preserve">OSSTF </w:t>
      </w:r>
      <w:proofErr w:type="spellStart"/>
      <w:r w:rsidRPr="005C0014">
        <w:rPr>
          <w:rFonts w:ascii="Arial" w:eastAsia="Arial" w:hAnsi="Arial" w:cs="Arial"/>
          <w:lang w:val="fr-CA"/>
        </w:rPr>
        <w:t>Benefits</w:t>
      </w:r>
      <w:proofErr w:type="spellEnd"/>
    </w:p>
    <w:p w14:paraId="5790F61A" w14:textId="46CD2540" w:rsidR="00962349" w:rsidRPr="00962349" w:rsidRDefault="001509F3" w:rsidP="002010F6">
      <w:pPr>
        <w:spacing w:before="120" w:line="264" w:lineRule="auto"/>
        <w:ind w:left="1627"/>
        <w:rPr>
          <w:rFonts w:ascii="Arial" w:eastAsia="Arial" w:hAnsi="Arial" w:cs="Arial"/>
        </w:rPr>
      </w:pPr>
      <w:r>
        <w:rPr>
          <w:rFonts w:ascii="Arial" w:eastAsia="Arial" w:hAnsi="Arial" w:cs="Arial"/>
        </w:rPr>
        <w:t>OSSTF Benefits</w:t>
      </w:r>
      <w:r w:rsidR="001466D1">
        <w:rPr>
          <w:rFonts w:ascii="Arial" w:eastAsia="Arial" w:hAnsi="Arial" w:cs="Arial"/>
        </w:rPr>
        <w:t xml:space="preserve"> </w:t>
      </w:r>
      <w:r w:rsidR="00962349" w:rsidRPr="00962349">
        <w:rPr>
          <w:rFonts w:ascii="Arial" w:hAnsi="Arial" w:cs="Arial"/>
          <w:lang w:val="fr-CA"/>
        </w:rPr>
        <w:t xml:space="preserve">est une </w:t>
      </w:r>
      <w:r w:rsidR="00962349">
        <w:rPr>
          <w:rFonts w:ascii="Arial" w:hAnsi="Arial" w:cs="Arial"/>
          <w:lang w:val="fr-CA"/>
        </w:rPr>
        <w:t>« </w:t>
      </w:r>
      <w:r w:rsidR="00962349" w:rsidRPr="00962349">
        <w:rPr>
          <w:rFonts w:ascii="Arial" w:hAnsi="Arial" w:cs="Arial"/>
          <w:lang w:val="fr-CA"/>
        </w:rPr>
        <w:t xml:space="preserve">fiducie </w:t>
      </w:r>
      <w:r w:rsidR="00962349">
        <w:rPr>
          <w:rFonts w:ascii="Arial" w:hAnsi="Arial" w:cs="Arial"/>
          <w:lang w:val="fr-CA"/>
        </w:rPr>
        <w:t>de soins de santé au bénéfice d’employés »</w:t>
      </w:r>
      <w:r w:rsidR="00962349" w:rsidRPr="00962349">
        <w:rPr>
          <w:rFonts w:ascii="Arial" w:hAnsi="Arial" w:cs="Arial"/>
          <w:lang w:val="fr-CA"/>
        </w:rPr>
        <w:t xml:space="preserve"> imposable et est responsable du paiement de l’impôt sur le revenu applicable.</w:t>
      </w:r>
    </w:p>
    <w:p w14:paraId="1382BA12" w14:textId="3D3197D4" w:rsidR="002771A9" w:rsidRPr="002010F6" w:rsidRDefault="002010F6" w:rsidP="002010F6">
      <w:pPr>
        <w:pStyle w:val="ListParagraph"/>
        <w:numPr>
          <w:ilvl w:val="0"/>
          <w:numId w:val="8"/>
        </w:numPr>
        <w:tabs>
          <w:tab w:val="left" w:pos="1701"/>
        </w:tabs>
        <w:spacing w:before="120" w:line="264" w:lineRule="auto"/>
        <w:ind w:left="1627" w:hanging="367"/>
        <w:rPr>
          <w:rFonts w:ascii="Arial" w:eastAsia="Arial" w:hAnsi="Arial" w:cs="Arial"/>
          <w:lang w:val="fr-CA"/>
        </w:rPr>
      </w:pPr>
      <w:r>
        <w:rPr>
          <w:rFonts w:ascii="Arial" w:eastAsia="Arial" w:hAnsi="Arial" w:cs="Arial"/>
          <w:lang w:val="fr-CA"/>
        </w:rPr>
        <w:t>Comptes distincts</w:t>
      </w:r>
    </w:p>
    <w:p w14:paraId="44AFD162" w14:textId="7857B4E9" w:rsidR="00A51DBD" w:rsidRPr="00A51DBD" w:rsidRDefault="00A51DBD" w:rsidP="00150B7B">
      <w:pPr>
        <w:widowControl/>
        <w:spacing w:before="60" w:line="264" w:lineRule="auto"/>
        <w:ind w:left="1627"/>
        <w:rPr>
          <w:rFonts w:ascii="Arial" w:eastAsia="Arial" w:hAnsi="Arial" w:cs="Arial"/>
        </w:rPr>
      </w:pPr>
      <w:r w:rsidRPr="00A51DBD">
        <w:rPr>
          <w:rFonts w:ascii="Arial" w:hAnsi="Arial" w:cs="Arial"/>
          <w:lang w:val="fr-CA"/>
        </w:rPr>
        <w:t xml:space="preserve">Tous les revenus reçus et les prestations fournies par la </w:t>
      </w:r>
      <w:r>
        <w:rPr>
          <w:rFonts w:ascii="Arial" w:hAnsi="Arial" w:cs="Arial"/>
          <w:lang w:val="fr-CA"/>
        </w:rPr>
        <w:t>F</w:t>
      </w:r>
      <w:r w:rsidRPr="00A51DBD">
        <w:rPr>
          <w:rFonts w:ascii="Arial" w:hAnsi="Arial" w:cs="Arial"/>
          <w:lang w:val="fr-CA"/>
        </w:rPr>
        <w:t>iducie doivent être comptabilisés séparément pour chaque groupe distinct (p. ex.</w:t>
      </w:r>
      <w:r>
        <w:rPr>
          <w:rFonts w:ascii="Arial" w:hAnsi="Arial" w:cs="Arial"/>
          <w:lang w:val="fr-CA"/>
        </w:rPr>
        <w:t>,</w:t>
      </w:r>
      <w:r w:rsidRPr="00A51DBD">
        <w:rPr>
          <w:rFonts w:ascii="Arial" w:hAnsi="Arial" w:cs="Arial"/>
          <w:lang w:val="fr-CA"/>
        </w:rPr>
        <w:t xml:space="preserve"> le</w:t>
      </w:r>
      <w:r>
        <w:rPr>
          <w:rFonts w:ascii="Arial" w:hAnsi="Arial" w:cs="Arial"/>
          <w:lang w:val="fr-CA"/>
        </w:rPr>
        <w:t xml:space="preserve"> personnel</w:t>
      </w:r>
      <w:r w:rsidRPr="00A51DBD">
        <w:rPr>
          <w:rFonts w:ascii="Arial" w:hAnsi="Arial" w:cs="Arial"/>
          <w:lang w:val="fr-CA"/>
        </w:rPr>
        <w:t xml:space="preserve"> enseignant d</w:t>
      </w:r>
      <w:r>
        <w:rPr>
          <w:rFonts w:ascii="Arial" w:hAnsi="Arial" w:cs="Arial"/>
          <w:lang w:val="fr-CA"/>
        </w:rPr>
        <w:t>’OSSTF/</w:t>
      </w:r>
      <w:r w:rsidRPr="00A51DBD">
        <w:rPr>
          <w:rFonts w:ascii="Arial" w:hAnsi="Arial" w:cs="Arial"/>
          <w:lang w:val="fr-CA"/>
        </w:rPr>
        <w:t>FEESO et les travailleurs en éducation d</w:t>
      </w:r>
      <w:r>
        <w:rPr>
          <w:rFonts w:ascii="Arial" w:hAnsi="Arial" w:cs="Arial"/>
          <w:lang w:val="fr-CA"/>
        </w:rPr>
        <w:t>’OSSTF/</w:t>
      </w:r>
      <w:r w:rsidRPr="00A51DBD">
        <w:rPr>
          <w:rFonts w:ascii="Arial" w:hAnsi="Arial" w:cs="Arial"/>
          <w:lang w:val="fr-CA"/>
        </w:rPr>
        <w:t xml:space="preserve">FEESO). Les fonds peuvent être mis en commun à des fins d’investissement et de </w:t>
      </w:r>
      <w:r w:rsidRPr="00A51DBD">
        <w:rPr>
          <w:rFonts w:ascii="Arial" w:hAnsi="Arial" w:cs="Arial"/>
          <w:lang w:val="fr-CA"/>
        </w:rPr>
        <w:lastRenderedPageBreak/>
        <w:t>dépenses communes. Toutes les dépenses administratives engagées à l’égard d’un compte spécifique seront attribuées de façon appropriée à ce compte.</w:t>
      </w:r>
    </w:p>
    <w:p w14:paraId="4DF4DFF3" w14:textId="6A951FFD" w:rsidR="00F16FA6" w:rsidRPr="002010F6" w:rsidRDefault="007834F0" w:rsidP="00F16FA6">
      <w:pPr>
        <w:numPr>
          <w:ilvl w:val="0"/>
          <w:numId w:val="8"/>
        </w:numPr>
        <w:spacing w:before="120" w:line="264" w:lineRule="auto"/>
        <w:ind w:left="1620" w:hanging="360"/>
        <w:rPr>
          <w:rFonts w:ascii="Arial" w:eastAsia="Arial" w:hAnsi="Arial" w:cs="Arial"/>
          <w:lang w:val="fr-CA"/>
        </w:rPr>
      </w:pPr>
      <w:r w:rsidRPr="002010F6">
        <w:rPr>
          <w:rFonts w:ascii="Arial" w:eastAsia="Arial" w:hAnsi="Arial" w:cs="Arial"/>
          <w:lang w:val="fr-CA"/>
        </w:rPr>
        <w:t>Ret</w:t>
      </w:r>
      <w:r w:rsidR="002010F6">
        <w:rPr>
          <w:rFonts w:ascii="Arial" w:eastAsia="Arial" w:hAnsi="Arial" w:cs="Arial"/>
          <w:lang w:val="fr-CA"/>
        </w:rPr>
        <w:t>raités</w:t>
      </w:r>
    </w:p>
    <w:p w14:paraId="516C511F" w14:textId="37D52F9A" w:rsidR="00FC0F15" w:rsidRPr="00FC0F15" w:rsidRDefault="00FC0F15" w:rsidP="00FC0F15">
      <w:pPr>
        <w:spacing w:before="120" w:line="264" w:lineRule="auto"/>
        <w:ind w:left="1627"/>
        <w:rPr>
          <w:rFonts w:ascii="Arial" w:eastAsia="Times New Roman" w:hAnsi="Arial" w:cs="Arial"/>
          <w:iCs/>
          <w:color w:val="222222"/>
          <w:lang w:val="en-CA" w:eastAsia="en-CA"/>
        </w:rPr>
      </w:pPr>
      <w:r w:rsidRPr="00FC0F15">
        <w:rPr>
          <w:rFonts w:ascii="Arial" w:hAnsi="Arial" w:cs="Arial"/>
          <w:lang w:val="fr-CA"/>
        </w:rPr>
        <w:t>Les employés retraités admissibles d</w:t>
      </w:r>
      <w:r>
        <w:rPr>
          <w:rFonts w:ascii="Arial" w:hAnsi="Arial" w:cs="Arial"/>
          <w:lang w:val="fr-CA"/>
        </w:rPr>
        <w:t>’OSSTF/</w:t>
      </w:r>
      <w:r w:rsidRPr="00FC0F15">
        <w:rPr>
          <w:rFonts w:ascii="Arial" w:hAnsi="Arial" w:cs="Arial"/>
          <w:lang w:val="fr-CA"/>
        </w:rPr>
        <w:t xml:space="preserve">FEESO qui ont commencé à participer à un régime de prestations antérieur sur une base de tarification subventionnée ou non subventionnée au plus tard le 6 octobre 2016 et qui y participent toujours lorsque les retraités admissibles sont transférés </w:t>
      </w:r>
      <w:r>
        <w:rPr>
          <w:rFonts w:ascii="Arial" w:hAnsi="Arial" w:cs="Arial"/>
          <w:lang w:val="fr-CA"/>
        </w:rPr>
        <w:t>à la FSSBE d’OSSTF/</w:t>
      </w:r>
      <w:r w:rsidRPr="00FC0F15">
        <w:rPr>
          <w:rFonts w:ascii="Arial" w:hAnsi="Arial" w:cs="Arial"/>
          <w:lang w:val="fr-CA"/>
        </w:rPr>
        <w:t>FEESO seront admissibles à recevoir des prestations désignées d</w:t>
      </w:r>
      <w:r>
        <w:rPr>
          <w:rFonts w:ascii="Arial" w:hAnsi="Arial" w:cs="Arial"/>
          <w:lang w:val="fr-CA"/>
        </w:rPr>
        <w:t xml:space="preserve">’OSSTF </w:t>
      </w:r>
      <w:proofErr w:type="spellStart"/>
      <w:r>
        <w:rPr>
          <w:rFonts w:ascii="Arial" w:hAnsi="Arial" w:cs="Arial"/>
          <w:lang w:val="fr-CA"/>
        </w:rPr>
        <w:t>Benefits</w:t>
      </w:r>
      <w:proofErr w:type="spellEnd"/>
      <w:r w:rsidRPr="00FC0F15">
        <w:rPr>
          <w:rFonts w:ascii="Arial" w:hAnsi="Arial" w:cs="Arial"/>
          <w:lang w:val="fr-CA"/>
        </w:rPr>
        <w:t>. Le financement des prestations des retraités n’est pas abordé dans le présent document.</w:t>
      </w:r>
    </w:p>
    <w:p w14:paraId="48448A72" w14:textId="77777777" w:rsidR="00F16FA6" w:rsidRDefault="00F16FA6" w:rsidP="00487763">
      <w:pPr>
        <w:spacing w:before="60" w:line="264" w:lineRule="auto"/>
        <w:ind w:left="1627"/>
        <w:rPr>
          <w:rFonts w:ascii="Arial" w:eastAsia="Arial" w:hAnsi="Arial" w:cs="Arial"/>
        </w:rPr>
      </w:pPr>
    </w:p>
    <w:p w14:paraId="389342CC" w14:textId="0E7C7E6B" w:rsidR="002771A9" w:rsidRPr="00FC0F15" w:rsidRDefault="00FC0F15" w:rsidP="00487763">
      <w:pPr>
        <w:numPr>
          <w:ilvl w:val="1"/>
          <w:numId w:val="7"/>
        </w:numPr>
        <w:spacing w:line="264" w:lineRule="auto"/>
        <w:ind w:left="1260" w:hanging="684"/>
        <w:rPr>
          <w:rFonts w:ascii="Arial" w:eastAsia="Arial" w:hAnsi="Arial" w:cs="Arial"/>
          <w:b/>
          <w:lang w:val="fr-CA"/>
        </w:rPr>
      </w:pPr>
      <w:r w:rsidRPr="00FC0F15">
        <w:rPr>
          <w:rFonts w:ascii="Arial" w:eastAsia="Arial" w:hAnsi="Arial" w:cs="Arial"/>
          <w:b/>
          <w:lang w:val="fr-CA"/>
        </w:rPr>
        <w:t>Définitions</w:t>
      </w:r>
      <w:r>
        <w:rPr>
          <w:rFonts w:ascii="Arial" w:eastAsia="Arial" w:hAnsi="Arial" w:cs="Arial"/>
          <w:b/>
          <w:lang w:val="fr-CA"/>
        </w:rPr>
        <w:t xml:space="preserve"> « d’année » pour la Fiducie</w:t>
      </w:r>
    </w:p>
    <w:p w14:paraId="1DABBBA7" w14:textId="10C96947" w:rsidR="00AE0DAF" w:rsidRPr="00AE0DAF" w:rsidRDefault="00AE0DAF" w:rsidP="00AE0DAF">
      <w:pPr>
        <w:spacing w:before="120" w:line="264" w:lineRule="auto"/>
        <w:ind w:left="1267"/>
        <w:rPr>
          <w:rFonts w:ascii="Arial" w:eastAsia="Arial" w:hAnsi="Arial" w:cs="Arial"/>
        </w:rPr>
      </w:pPr>
      <w:r>
        <w:rPr>
          <w:rFonts w:ascii="Arial" w:hAnsi="Arial" w:cs="Arial"/>
          <w:lang w:val="fr-CA"/>
        </w:rPr>
        <w:t xml:space="preserve">OSSTF </w:t>
      </w:r>
      <w:proofErr w:type="spellStart"/>
      <w:r>
        <w:rPr>
          <w:rFonts w:ascii="Arial" w:hAnsi="Arial" w:cs="Arial"/>
          <w:lang w:val="fr-CA"/>
        </w:rPr>
        <w:t>Benefits</w:t>
      </w:r>
      <w:proofErr w:type="spellEnd"/>
      <w:r w:rsidRPr="00AE0DAF">
        <w:rPr>
          <w:rFonts w:ascii="Arial" w:hAnsi="Arial" w:cs="Arial"/>
          <w:lang w:val="fr-CA"/>
        </w:rPr>
        <w:t xml:space="preserve"> dépose des déclarations de revenus sur la base d’une année civile (du 1</w:t>
      </w:r>
      <w:r w:rsidRPr="00AE0DAF">
        <w:rPr>
          <w:rFonts w:ascii="Arial" w:hAnsi="Arial" w:cs="Arial"/>
          <w:vertAlign w:val="superscript"/>
          <w:lang w:val="fr-CA"/>
        </w:rPr>
        <w:t>er</w:t>
      </w:r>
      <w:r>
        <w:rPr>
          <w:rFonts w:ascii="Arial" w:hAnsi="Arial" w:cs="Arial"/>
          <w:lang w:val="fr-CA"/>
        </w:rPr>
        <w:t xml:space="preserve"> </w:t>
      </w:r>
      <w:r w:rsidRPr="00AE0DAF">
        <w:rPr>
          <w:rFonts w:ascii="Arial" w:hAnsi="Arial" w:cs="Arial"/>
          <w:lang w:val="fr-CA"/>
        </w:rPr>
        <w:t xml:space="preserve">janvier au 31 décembre) et des vérifications externes sont également effectuées pour des périodes d’année civile. </w:t>
      </w:r>
    </w:p>
    <w:p w14:paraId="4EC17AF9" w14:textId="4C966D10" w:rsidR="007F64F4" w:rsidRPr="00533C9B" w:rsidRDefault="00AE0DAF" w:rsidP="00533C9B">
      <w:pPr>
        <w:spacing w:before="120" w:line="264" w:lineRule="auto"/>
        <w:ind w:left="1267"/>
        <w:rPr>
          <w:rFonts w:ascii="Arial" w:hAnsi="Arial" w:cs="Arial"/>
          <w:lang w:val="fr-CA"/>
        </w:rPr>
      </w:pPr>
      <w:r w:rsidRPr="00533C9B">
        <w:rPr>
          <w:rFonts w:ascii="Arial" w:hAnsi="Arial" w:cs="Arial"/>
          <w:lang w:val="fr-CA"/>
        </w:rPr>
        <w:t>L’année</w:t>
      </w:r>
      <w:r w:rsidRPr="00AE0DAF">
        <w:rPr>
          <w:rFonts w:ascii="Arial" w:hAnsi="Arial" w:cs="Arial"/>
          <w:lang w:val="fr-CA"/>
        </w:rPr>
        <w:t xml:space="preserve"> du régime de prestations de la Fiducie est la période de 12 mois allant du 1</w:t>
      </w:r>
      <w:r w:rsidRPr="00533C9B">
        <w:rPr>
          <w:rFonts w:ascii="Arial" w:hAnsi="Arial" w:cs="Arial"/>
          <w:vertAlign w:val="superscript"/>
          <w:lang w:val="fr-CA"/>
        </w:rPr>
        <w:t>er</w:t>
      </w:r>
      <w:r w:rsidR="00533C9B">
        <w:rPr>
          <w:rFonts w:ascii="Arial" w:hAnsi="Arial" w:cs="Arial"/>
          <w:lang w:val="fr-CA"/>
        </w:rPr>
        <w:t> </w:t>
      </w:r>
      <w:r w:rsidRPr="00AE0DAF">
        <w:rPr>
          <w:rFonts w:ascii="Arial" w:hAnsi="Arial" w:cs="Arial"/>
          <w:lang w:val="fr-CA"/>
        </w:rPr>
        <w:t>septembre au 31 août. L’année du régime de prestations est la période utilisée pour mesurer le renouvellement de l’assureur, le développement de la réserve pour fluctuation des</w:t>
      </w:r>
      <w:r w:rsidR="00763CE0">
        <w:rPr>
          <w:rFonts w:ascii="Arial" w:hAnsi="Arial" w:cs="Arial"/>
          <w:lang w:val="fr-CA"/>
        </w:rPr>
        <w:t xml:space="preserve"> demandes de règlement</w:t>
      </w:r>
      <w:r w:rsidRPr="00AE0DAF">
        <w:rPr>
          <w:rFonts w:ascii="Arial" w:hAnsi="Arial" w:cs="Arial"/>
          <w:lang w:val="fr-CA"/>
        </w:rPr>
        <w:t xml:space="preserve"> et d’autres réserves du régime, ainsi que pour la préparation de l’évaluation actuarielle des régimes et l’évaluation de la situation financière des régimes. Les résultats de l’année de prestation peuvent être extrapolés à l’année civile aux fins de rapport à </w:t>
      </w:r>
      <w:r w:rsidR="00533C9B">
        <w:rPr>
          <w:rFonts w:ascii="Arial" w:hAnsi="Arial" w:cs="Arial"/>
          <w:lang w:val="fr-CA"/>
        </w:rPr>
        <w:t>OSSTF/</w:t>
      </w:r>
      <w:r w:rsidRPr="00AE0DAF">
        <w:rPr>
          <w:rFonts w:ascii="Arial" w:hAnsi="Arial" w:cs="Arial"/>
          <w:lang w:val="fr-CA"/>
        </w:rPr>
        <w:t>FEESO, à OPSBA et à la Couronne.</w:t>
      </w:r>
    </w:p>
    <w:p w14:paraId="6F977E77" w14:textId="77777777" w:rsidR="002771A9" w:rsidRPr="007F64F4" w:rsidRDefault="002771A9" w:rsidP="00487763">
      <w:pPr>
        <w:spacing w:line="264" w:lineRule="auto"/>
        <w:ind w:left="1267"/>
        <w:rPr>
          <w:rFonts w:ascii="Arial" w:eastAsia="Arial" w:hAnsi="Arial" w:cs="Arial"/>
        </w:rPr>
      </w:pPr>
    </w:p>
    <w:p w14:paraId="21DB9D88" w14:textId="506EF25E" w:rsidR="00CC4BA6" w:rsidRPr="00533C9B" w:rsidRDefault="001466D1" w:rsidP="00487763">
      <w:pPr>
        <w:numPr>
          <w:ilvl w:val="1"/>
          <w:numId w:val="7"/>
        </w:numPr>
        <w:spacing w:line="264" w:lineRule="auto"/>
        <w:ind w:left="1260" w:hanging="684"/>
        <w:rPr>
          <w:rFonts w:ascii="Arial" w:eastAsia="Arial" w:hAnsi="Arial" w:cs="Arial"/>
          <w:lang w:val="fr-CA"/>
        </w:rPr>
      </w:pPr>
      <w:r w:rsidRPr="00533C9B">
        <w:rPr>
          <w:rFonts w:ascii="Arial" w:eastAsia="Arial" w:hAnsi="Arial" w:cs="Arial"/>
          <w:b/>
          <w:lang w:val="fr-CA"/>
        </w:rPr>
        <w:t>S</w:t>
      </w:r>
      <w:r w:rsidR="00533C9B">
        <w:rPr>
          <w:rFonts w:ascii="Arial" w:eastAsia="Arial" w:hAnsi="Arial" w:cs="Arial"/>
          <w:b/>
          <w:lang w:val="fr-CA"/>
        </w:rPr>
        <w:t>ituation de capitalisation</w:t>
      </w:r>
    </w:p>
    <w:p w14:paraId="480B52BB" w14:textId="5FB2602B" w:rsidR="00216357" w:rsidRPr="00216357" w:rsidRDefault="00216357" w:rsidP="00216357">
      <w:pPr>
        <w:spacing w:before="120" w:line="264" w:lineRule="auto"/>
        <w:ind w:left="1267"/>
        <w:rPr>
          <w:rFonts w:ascii="Arial" w:hAnsi="Arial" w:cs="Arial"/>
          <w:lang w:val="fr-CA"/>
        </w:rPr>
      </w:pPr>
      <w:r>
        <w:rPr>
          <w:rFonts w:ascii="Arial" w:hAnsi="Arial" w:cs="Arial"/>
          <w:lang w:val="fr-CA"/>
        </w:rPr>
        <w:t>Le</w:t>
      </w:r>
      <w:r w:rsidRPr="00216357">
        <w:rPr>
          <w:rFonts w:ascii="Arial" w:hAnsi="Arial" w:cs="Arial"/>
          <w:lang w:val="fr-CA"/>
        </w:rPr>
        <w:t xml:space="preserve"> 6 octobre 2016, le gouvernement a fourni d</w:t>
      </w:r>
      <w:r w:rsidR="00763CE0">
        <w:rPr>
          <w:rFonts w:ascii="Arial" w:hAnsi="Arial" w:cs="Arial"/>
          <w:lang w:val="fr-CA"/>
        </w:rPr>
        <w:t xml:space="preserve">u financement </w:t>
      </w:r>
      <w:r w:rsidRPr="00216357">
        <w:rPr>
          <w:rFonts w:ascii="Arial" w:hAnsi="Arial" w:cs="Arial"/>
          <w:lang w:val="fr-CA"/>
        </w:rPr>
        <w:t xml:space="preserve">pour </w:t>
      </w:r>
      <w:r>
        <w:rPr>
          <w:rFonts w:ascii="Arial" w:hAnsi="Arial" w:cs="Arial"/>
          <w:lang w:val="fr-CA"/>
        </w:rPr>
        <w:t xml:space="preserve">la création </w:t>
      </w:r>
      <w:r w:rsidRPr="00216357">
        <w:rPr>
          <w:rFonts w:ascii="Arial" w:hAnsi="Arial" w:cs="Arial"/>
          <w:lang w:val="fr-CA"/>
        </w:rPr>
        <w:t xml:space="preserve">d’une réserve </w:t>
      </w:r>
      <w:r>
        <w:rPr>
          <w:rFonts w:ascii="Arial" w:hAnsi="Arial" w:cs="Arial"/>
          <w:lang w:val="fr-CA"/>
        </w:rPr>
        <w:t xml:space="preserve">pour </w:t>
      </w:r>
      <w:r w:rsidRPr="00216357">
        <w:rPr>
          <w:rFonts w:ascii="Arial" w:hAnsi="Arial" w:cs="Arial"/>
          <w:lang w:val="fr-CA"/>
        </w:rPr>
        <w:t xml:space="preserve">fluctuation des </w:t>
      </w:r>
      <w:r w:rsidR="00763CE0">
        <w:rPr>
          <w:rFonts w:ascii="Arial" w:hAnsi="Arial" w:cs="Arial"/>
          <w:lang w:val="fr-CA"/>
        </w:rPr>
        <w:t>demandes de règlement</w:t>
      </w:r>
      <w:r w:rsidRPr="00216357">
        <w:rPr>
          <w:rFonts w:ascii="Arial" w:hAnsi="Arial" w:cs="Arial"/>
          <w:lang w:val="fr-CA"/>
        </w:rPr>
        <w:t xml:space="preserve"> </w:t>
      </w:r>
      <w:r w:rsidR="00763CE0">
        <w:rPr>
          <w:rFonts w:ascii="Arial" w:hAnsi="Arial" w:cs="Arial"/>
          <w:lang w:val="fr-CA"/>
        </w:rPr>
        <w:t xml:space="preserve">totalisant </w:t>
      </w:r>
      <w:r w:rsidRPr="00216357">
        <w:rPr>
          <w:rFonts w:ascii="Arial" w:hAnsi="Arial" w:cs="Arial"/>
          <w:lang w:val="fr-CA"/>
        </w:rPr>
        <w:t>19,4 millions de dollars pour le</w:t>
      </w:r>
      <w:r w:rsidR="00763CE0">
        <w:rPr>
          <w:rFonts w:ascii="Arial" w:hAnsi="Arial" w:cs="Arial"/>
          <w:lang w:val="fr-CA"/>
        </w:rPr>
        <w:t xml:space="preserve"> personnel </w:t>
      </w:r>
      <w:r w:rsidRPr="00216357">
        <w:rPr>
          <w:rFonts w:ascii="Arial" w:hAnsi="Arial" w:cs="Arial"/>
          <w:lang w:val="fr-CA"/>
        </w:rPr>
        <w:t>enseignant</w:t>
      </w:r>
      <w:r w:rsidR="00763CE0">
        <w:rPr>
          <w:rFonts w:ascii="Arial" w:hAnsi="Arial" w:cs="Arial"/>
          <w:lang w:val="fr-CA"/>
        </w:rPr>
        <w:t xml:space="preserve"> d’OSSTF/</w:t>
      </w:r>
      <w:r w:rsidRPr="00216357">
        <w:rPr>
          <w:rFonts w:ascii="Arial" w:hAnsi="Arial" w:cs="Arial"/>
          <w:lang w:val="fr-CA"/>
        </w:rPr>
        <w:t>FEESO et 7,8 millions de dollars pour les travailleurs en éducation d</w:t>
      </w:r>
      <w:r w:rsidR="00763CE0">
        <w:rPr>
          <w:rFonts w:ascii="Arial" w:hAnsi="Arial" w:cs="Arial"/>
          <w:lang w:val="fr-CA"/>
        </w:rPr>
        <w:t>’OSSTF/</w:t>
      </w:r>
      <w:r w:rsidRPr="00216357">
        <w:rPr>
          <w:rFonts w:ascii="Arial" w:hAnsi="Arial" w:cs="Arial"/>
          <w:lang w:val="fr-CA"/>
        </w:rPr>
        <w:t>FEESO. Tou</w:t>
      </w:r>
      <w:r w:rsidR="00763CE0">
        <w:rPr>
          <w:rFonts w:ascii="Arial" w:hAnsi="Arial" w:cs="Arial"/>
          <w:lang w:val="fr-CA"/>
        </w:rPr>
        <w:t>te</w:t>
      </w:r>
      <w:r w:rsidRPr="00216357">
        <w:rPr>
          <w:rFonts w:ascii="Arial" w:hAnsi="Arial" w:cs="Arial"/>
          <w:lang w:val="fr-CA"/>
        </w:rPr>
        <w:t xml:space="preserve">s les </w:t>
      </w:r>
      <w:r w:rsidR="00763CE0">
        <w:rPr>
          <w:rFonts w:ascii="Arial" w:hAnsi="Arial" w:cs="Arial"/>
          <w:lang w:val="fr-CA"/>
        </w:rPr>
        <w:t>sommes</w:t>
      </w:r>
      <w:r w:rsidRPr="00216357">
        <w:rPr>
          <w:rFonts w:ascii="Arial" w:hAnsi="Arial" w:cs="Arial"/>
          <w:lang w:val="fr-CA"/>
        </w:rPr>
        <w:t xml:space="preserve"> restant</w:t>
      </w:r>
      <w:r w:rsidR="00763CE0">
        <w:rPr>
          <w:rFonts w:ascii="Arial" w:hAnsi="Arial" w:cs="Arial"/>
          <w:lang w:val="fr-CA"/>
        </w:rPr>
        <w:t>e</w:t>
      </w:r>
      <w:r w:rsidRPr="00216357">
        <w:rPr>
          <w:rFonts w:ascii="Arial" w:hAnsi="Arial" w:cs="Arial"/>
          <w:lang w:val="fr-CA"/>
        </w:rPr>
        <w:t xml:space="preserve">s des fonds de démarrage, qui ne sont pas utilisés pour mettre en œuvre la </w:t>
      </w:r>
      <w:r w:rsidR="00763CE0">
        <w:rPr>
          <w:rFonts w:ascii="Arial" w:hAnsi="Arial" w:cs="Arial"/>
          <w:lang w:val="fr-CA"/>
        </w:rPr>
        <w:t>F</w:t>
      </w:r>
      <w:r w:rsidRPr="00216357">
        <w:rPr>
          <w:rFonts w:ascii="Arial" w:hAnsi="Arial" w:cs="Arial"/>
          <w:lang w:val="fr-CA"/>
        </w:rPr>
        <w:t>iducie, seront versé</w:t>
      </w:r>
      <w:r w:rsidR="00763CE0">
        <w:rPr>
          <w:rFonts w:ascii="Arial" w:hAnsi="Arial" w:cs="Arial"/>
          <w:lang w:val="fr-CA"/>
        </w:rPr>
        <w:t>e</w:t>
      </w:r>
      <w:r w:rsidRPr="00216357">
        <w:rPr>
          <w:rFonts w:ascii="Arial" w:hAnsi="Arial" w:cs="Arial"/>
          <w:lang w:val="fr-CA"/>
        </w:rPr>
        <w:t xml:space="preserve">s à la </w:t>
      </w:r>
      <w:r w:rsidR="00763CE0">
        <w:rPr>
          <w:rFonts w:ascii="Arial" w:hAnsi="Arial" w:cs="Arial"/>
          <w:lang w:val="fr-CA"/>
        </w:rPr>
        <w:t>F</w:t>
      </w:r>
      <w:r w:rsidRPr="00216357">
        <w:rPr>
          <w:rFonts w:ascii="Arial" w:hAnsi="Arial" w:cs="Arial"/>
          <w:lang w:val="fr-CA"/>
        </w:rPr>
        <w:t>iducie. Selon le niveau de contribution des employés aux</w:t>
      </w:r>
      <w:r w:rsidR="00763CE0">
        <w:rPr>
          <w:rFonts w:ascii="Arial" w:hAnsi="Arial" w:cs="Arial"/>
          <w:lang w:val="fr-CA"/>
        </w:rPr>
        <w:t xml:space="preserve"> primes</w:t>
      </w:r>
      <w:r w:rsidRPr="00216357">
        <w:rPr>
          <w:rFonts w:ascii="Arial" w:hAnsi="Arial" w:cs="Arial"/>
          <w:lang w:val="fr-CA"/>
        </w:rPr>
        <w:t>, une partie de toute réserve</w:t>
      </w:r>
      <w:r w:rsidR="00763CE0">
        <w:rPr>
          <w:rFonts w:ascii="Arial" w:hAnsi="Arial" w:cs="Arial"/>
          <w:lang w:val="fr-CA"/>
        </w:rPr>
        <w:t xml:space="preserve"> pour</w:t>
      </w:r>
      <w:r w:rsidRPr="00216357">
        <w:rPr>
          <w:rFonts w:ascii="Arial" w:hAnsi="Arial" w:cs="Arial"/>
          <w:lang w:val="fr-CA"/>
        </w:rPr>
        <w:t xml:space="preserve"> fluctuation des</w:t>
      </w:r>
      <w:r w:rsidR="00763CE0">
        <w:rPr>
          <w:rFonts w:ascii="Arial" w:hAnsi="Arial" w:cs="Arial"/>
          <w:lang w:val="fr-CA"/>
        </w:rPr>
        <w:t xml:space="preserve"> demandes de règlement</w:t>
      </w:r>
      <w:r w:rsidRPr="00216357">
        <w:rPr>
          <w:rFonts w:ascii="Arial" w:hAnsi="Arial" w:cs="Arial"/>
          <w:lang w:val="fr-CA"/>
        </w:rPr>
        <w:t xml:space="preserve"> disponible et admissible ou de toute réserve encourue mais non déclarée ou de tout surplus de régime</w:t>
      </w:r>
      <w:r w:rsidR="007A748B">
        <w:rPr>
          <w:rFonts w:ascii="Arial" w:hAnsi="Arial" w:cs="Arial"/>
          <w:lang w:val="fr-CA"/>
        </w:rPr>
        <w:t>s</w:t>
      </w:r>
      <w:r w:rsidRPr="00216357">
        <w:rPr>
          <w:rFonts w:ascii="Arial" w:hAnsi="Arial" w:cs="Arial"/>
          <w:lang w:val="fr-CA"/>
        </w:rPr>
        <w:t xml:space="preserve"> appartenant auparavant à un conseil scolaire et détenu par un assureur sera versée à la </w:t>
      </w:r>
      <w:r w:rsidR="00763CE0">
        <w:rPr>
          <w:rFonts w:ascii="Arial" w:hAnsi="Arial" w:cs="Arial"/>
          <w:lang w:val="fr-CA"/>
        </w:rPr>
        <w:t>F</w:t>
      </w:r>
      <w:r w:rsidRPr="00216357">
        <w:rPr>
          <w:rFonts w:ascii="Arial" w:hAnsi="Arial" w:cs="Arial"/>
          <w:lang w:val="fr-CA"/>
        </w:rPr>
        <w:t xml:space="preserve">iducie. Le statut de </w:t>
      </w:r>
      <w:r w:rsidR="00763CE0">
        <w:rPr>
          <w:rFonts w:ascii="Arial" w:hAnsi="Arial" w:cs="Arial"/>
          <w:lang w:val="fr-CA"/>
        </w:rPr>
        <w:t xml:space="preserve">capitalisation </w:t>
      </w:r>
      <w:r w:rsidRPr="00216357">
        <w:rPr>
          <w:rFonts w:ascii="Arial" w:hAnsi="Arial" w:cs="Arial"/>
          <w:lang w:val="fr-CA"/>
        </w:rPr>
        <w:t xml:space="preserve">des comptes distincts au sein de la </w:t>
      </w:r>
      <w:r w:rsidR="00763CE0">
        <w:rPr>
          <w:rFonts w:ascii="Arial" w:hAnsi="Arial" w:cs="Arial"/>
          <w:lang w:val="fr-CA"/>
        </w:rPr>
        <w:t>F</w:t>
      </w:r>
      <w:r w:rsidRPr="00216357">
        <w:rPr>
          <w:rFonts w:ascii="Arial" w:hAnsi="Arial" w:cs="Arial"/>
          <w:lang w:val="fr-CA"/>
        </w:rPr>
        <w:t>iducie sera déterminé à la fin de chaque année du régime d’avantages sociaux (c.-à-d.</w:t>
      </w:r>
      <w:r w:rsidR="00763CE0">
        <w:rPr>
          <w:rFonts w:ascii="Arial" w:hAnsi="Arial" w:cs="Arial"/>
          <w:lang w:val="fr-CA"/>
        </w:rPr>
        <w:t>,</w:t>
      </w:r>
      <w:r w:rsidRPr="00216357">
        <w:rPr>
          <w:rFonts w:ascii="Arial" w:hAnsi="Arial" w:cs="Arial"/>
          <w:lang w:val="fr-CA"/>
        </w:rPr>
        <w:t xml:space="preserve"> le 31 août). L’objectif de la réserve pour fluctuation des demandes de règlement est d’atténuer l’effet des changements imprévus dans les habitudes de demande de règlement, le rendement des placements, les coûts administratifs et la législation. Les fiduciaires peuvent décider d</w:t>
      </w:r>
      <w:r w:rsidR="00763CE0">
        <w:rPr>
          <w:rFonts w:ascii="Arial" w:hAnsi="Arial" w:cs="Arial"/>
          <w:lang w:val="fr-CA"/>
        </w:rPr>
        <w:t xml:space="preserve">e créer </w:t>
      </w:r>
      <w:r w:rsidRPr="00216357">
        <w:rPr>
          <w:rFonts w:ascii="Arial" w:hAnsi="Arial" w:cs="Arial"/>
          <w:lang w:val="fr-CA"/>
        </w:rPr>
        <w:t>des réserves supplémentaires pour faire face à des éventualités spécifiques.</w:t>
      </w:r>
    </w:p>
    <w:p w14:paraId="3F89FED6" w14:textId="77777777" w:rsidR="00324C67" w:rsidRDefault="00324C67" w:rsidP="00487763">
      <w:pPr>
        <w:spacing w:line="264" w:lineRule="auto"/>
      </w:pPr>
    </w:p>
    <w:p w14:paraId="2C022C57" w14:textId="77777777" w:rsidR="00CC4BA6" w:rsidRDefault="001466D1" w:rsidP="00487763">
      <w:pPr>
        <w:spacing w:line="264" w:lineRule="auto"/>
      </w:pPr>
      <w:r>
        <w:br w:type="page"/>
      </w:r>
    </w:p>
    <w:p w14:paraId="6A6BC751" w14:textId="2553CB7A" w:rsidR="00CC4BA6" w:rsidRPr="00533C9B" w:rsidRDefault="001466D1" w:rsidP="00487763">
      <w:pPr>
        <w:pStyle w:val="Heading1"/>
        <w:numPr>
          <w:ilvl w:val="0"/>
          <w:numId w:val="7"/>
        </w:numPr>
        <w:spacing w:before="0" w:line="264" w:lineRule="auto"/>
        <w:ind w:left="540" w:hanging="540"/>
        <w:rPr>
          <w:color w:val="000000"/>
          <w:sz w:val="22"/>
          <w:lang w:val="fr-CA"/>
        </w:rPr>
      </w:pPr>
      <w:bookmarkStart w:id="5" w:name="_Toc68950162"/>
      <w:r w:rsidRPr="00533C9B">
        <w:rPr>
          <w:color w:val="000000"/>
          <w:lang w:val="fr-CA"/>
        </w:rPr>
        <w:lastRenderedPageBreak/>
        <w:t>Principes</w:t>
      </w:r>
      <w:r w:rsidR="00533C9B" w:rsidRPr="00533C9B">
        <w:rPr>
          <w:color w:val="000000"/>
          <w:lang w:val="fr-CA"/>
        </w:rPr>
        <w:t xml:space="preserve"> sous-jacents</w:t>
      </w:r>
      <w:bookmarkEnd w:id="5"/>
    </w:p>
    <w:p w14:paraId="43CA53BB" w14:textId="77777777" w:rsidR="00673207" w:rsidRDefault="00673207" w:rsidP="00487763">
      <w:pPr>
        <w:spacing w:line="264" w:lineRule="auto"/>
        <w:ind w:left="547"/>
        <w:rPr>
          <w:rFonts w:ascii="Arial" w:eastAsia="Arial" w:hAnsi="Arial" w:cs="Arial"/>
        </w:rPr>
      </w:pPr>
    </w:p>
    <w:p w14:paraId="25285555" w14:textId="77777777" w:rsidR="00FD44AF" w:rsidRPr="00FD44AF" w:rsidRDefault="00FD44AF" w:rsidP="00FD44AF">
      <w:pPr>
        <w:numPr>
          <w:ilvl w:val="1"/>
          <w:numId w:val="7"/>
        </w:numPr>
        <w:spacing w:line="264" w:lineRule="auto"/>
        <w:ind w:left="1260" w:hanging="720"/>
        <w:rPr>
          <w:rFonts w:ascii="Arial" w:eastAsia="Arial" w:hAnsi="Arial" w:cs="Arial"/>
        </w:rPr>
      </w:pPr>
      <w:r w:rsidRPr="00FD44AF">
        <w:rPr>
          <w:rFonts w:ascii="Arial" w:hAnsi="Arial" w:cs="Arial"/>
          <w:lang w:val="fr-CA"/>
        </w:rPr>
        <w:t>La présente politique est élaborée sur la base des quatre principes fondamentaux suivants :</w:t>
      </w:r>
    </w:p>
    <w:p w14:paraId="458687A0" w14:textId="139CAE39" w:rsidR="00550880" w:rsidRPr="00550880" w:rsidRDefault="00550880" w:rsidP="00550880">
      <w:pPr>
        <w:numPr>
          <w:ilvl w:val="0"/>
          <w:numId w:val="2"/>
        </w:numPr>
        <w:spacing w:before="120" w:line="264" w:lineRule="auto"/>
        <w:ind w:left="2534" w:hanging="1267"/>
        <w:rPr>
          <w:rFonts w:ascii="Arial" w:eastAsia="Arial" w:hAnsi="Arial" w:cs="Arial"/>
        </w:rPr>
      </w:pPr>
      <w:r w:rsidRPr="00550880">
        <w:rPr>
          <w:rFonts w:ascii="Arial" w:hAnsi="Arial" w:cs="Arial"/>
          <w:lang w:val="fr-CA"/>
        </w:rPr>
        <w:t xml:space="preserve">Il devrait y avoir un partage équitable des risques et des récompenses entre les catégories de bénéficiaires de la Fiducie. Afin de respecter ce principe, les fiduciaires agiront de manière impartiale entre les catégories de participants après avoir pris en compte toutes les considérations appropriées lorsqu’ils apporteront des modifications aux dispositions relatives aux prestations de la Fiducie. </w:t>
      </w:r>
    </w:p>
    <w:p w14:paraId="44FCAC62" w14:textId="4C1E9CA3" w:rsidR="00EC3048" w:rsidRPr="00EC3048" w:rsidRDefault="00EC3048" w:rsidP="00EC3048">
      <w:pPr>
        <w:numPr>
          <w:ilvl w:val="0"/>
          <w:numId w:val="2"/>
        </w:numPr>
        <w:spacing w:before="120" w:line="264" w:lineRule="auto"/>
        <w:ind w:left="2534" w:hanging="1267"/>
        <w:rPr>
          <w:rFonts w:ascii="Arial" w:eastAsia="Arial" w:hAnsi="Arial" w:cs="Arial"/>
        </w:rPr>
      </w:pPr>
      <w:r w:rsidRPr="00EC3048">
        <w:rPr>
          <w:rFonts w:ascii="Arial" w:hAnsi="Arial" w:cs="Arial"/>
          <w:lang w:val="fr-CA"/>
        </w:rPr>
        <w:t>L’objectif principal de la politique de financement est la base financière sur laquelle les prestations sont fournies aux bénéficiaires, y compris l’établissement des conséquences des déficits ou des excédents par rapport au</w:t>
      </w:r>
      <w:r w:rsidR="005E258E">
        <w:rPr>
          <w:rFonts w:ascii="Arial" w:hAnsi="Arial" w:cs="Arial"/>
          <w:lang w:val="fr-CA"/>
        </w:rPr>
        <w:t xml:space="preserve"> passif </w:t>
      </w:r>
      <w:r w:rsidRPr="00EC3048">
        <w:rPr>
          <w:rFonts w:ascii="Arial" w:hAnsi="Arial" w:cs="Arial"/>
          <w:lang w:val="fr-CA"/>
        </w:rPr>
        <w:t>de la Fiducie et les conséquences des déficits ou des excédents de cotisation</w:t>
      </w:r>
      <w:r w:rsidR="007A748B">
        <w:rPr>
          <w:rFonts w:ascii="Arial" w:hAnsi="Arial" w:cs="Arial"/>
          <w:lang w:val="fr-CA"/>
        </w:rPr>
        <w:t>s</w:t>
      </w:r>
      <w:r w:rsidRPr="00EC3048">
        <w:rPr>
          <w:rFonts w:ascii="Arial" w:hAnsi="Arial" w:cs="Arial"/>
          <w:lang w:val="fr-CA"/>
        </w:rPr>
        <w:t xml:space="preserve"> par rapport aux coûts des prestations.</w:t>
      </w:r>
    </w:p>
    <w:p w14:paraId="0B1E16E7" w14:textId="6B4E401E" w:rsidR="002A6DCC" w:rsidRPr="002A6DCC" w:rsidRDefault="002A6DCC" w:rsidP="002A6DCC">
      <w:pPr>
        <w:numPr>
          <w:ilvl w:val="0"/>
          <w:numId w:val="2"/>
        </w:numPr>
        <w:spacing w:before="120" w:line="264" w:lineRule="auto"/>
        <w:ind w:left="2534" w:hanging="1267"/>
        <w:rPr>
          <w:rFonts w:ascii="Arial" w:eastAsia="Arial" w:hAnsi="Arial" w:cs="Arial"/>
        </w:rPr>
      </w:pPr>
      <w:r w:rsidRPr="002A6DCC">
        <w:rPr>
          <w:rFonts w:ascii="Arial" w:hAnsi="Arial" w:cs="Arial"/>
          <w:lang w:val="fr-CA"/>
        </w:rPr>
        <w:t>Le niveau des prestations à fournir aux bénéficiaires de la Fiducie devrait être déterminé et évalué, de temps à autre, sur une base de viabilité à long terme qui intègre suffisamment de prudence pour que les fiduciaires croient qu’il est réaliste de penser que les prestations peuvent être fournies avec une probabilité raisonnable et que la Fiducie est viable à long terme.</w:t>
      </w:r>
    </w:p>
    <w:p w14:paraId="642A8E5D" w14:textId="41B14DC0" w:rsidR="00E11997" w:rsidRPr="00E11997" w:rsidRDefault="00E11997" w:rsidP="00E11997">
      <w:pPr>
        <w:numPr>
          <w:ilvl w:val="0"/>
          <w:numId w:val="2"/>
        </w:numPr>
        <w:spacing w:before="120" w:line="264" w:lineRule="auto"/>
        <w:ind w:left="2534" w:hanging="1267"/>
        <w:rPr>
          <w:rFonts w:ascii="Arial" w:eastAsia="Arial" w:hAnsi="Arial" w:cs="Arial"/>
        </w:rPr>
      </w:pPr>
      <w:r w:rsidRPr="00E11997">
        <w:rPr>
          <w:rFonts w:ascii="Arial" w:hAnsi="Arial" w:cs="Arial"/>
          <w:lang w:val="fr-CA"/>
        </w:rPr>
        <w:t>Les rendements du marché sur les obligations gouvernementales nominales à long terme constituent la meilleure mesure impartiale du rendement futur des placements pour un portefeuille de placements à faible risque. La Fiducie g</w:t>
      </w:r>
      <w:r w:rsidR="007A748B">
        <w:rPr>
          <w:rFonts w:ascii="Arial" w:hAnsi="Arial" w:cs="Arial"/>
          <w:lang w:val="fr-CA"/>
        </w:rPr>
        <w:t>è</w:t>
      </w:r>
      <w:r w:rsidRPr="00E11997">
        <w:rPr>
          <w:rFonts w:ascii="Arial" w:hAnsi="Arial" w:cs="Arial"/>
          <w:lang w:val="fr-CA"/>
        </w:rPr>
        <w:t>rera ses investissements en tenant compte de l’équilibre entre les objectifs de risque et de rendement. La Fiducie mettra en œuvre une stratégie d’investissement conçue pour offrir un rendement à long terme suffisant pour soutenir ses réserves en plus de fournir des liquidités suffisantes pour répondre aux obligations financières de la Fiducie. Après avoir effectué certaines déductions, le revenu de placement est assujetti à l’impôt sur le revenu.</w:t>
      </w:r>
    </w:p>
    <w:p w14:paraId="70062E84" w14:textId="77777777" w:rsidR="00CC4BA6" w:rsidRDefault="00CC4BA6" w:rsidP="00487763">
      <w:pPr>
        <w:spacing w:line="264" w:lineRule="auto"/>
        <w:ind w:left="1080"/>
        <w:rPr>
          <w:rFonts w:ascii="Arial" w:eastAsia="Arial" w:hAnsi="Arial" w:cs="Arial"/>
        </w:rPr>
      </w:pPr>
    </w:p>
    <w:p w14:paraId="38337038" w14:textId="77777777" w:rsidR="00CC4BA6" w:rsidRDefault="001466D1" w:rsidP="00487763">
      <w:pPr>
        <w:spacing w:line="264" w:lineRule="auto"/>
      </w:pPr>
      <w:r>
        <w:br w:type="page"/>
      </w:r>
    </w:p>
    <w:p w14:paraId="2864EE56" w14:textId="39A37822" w:rsidR="00CC4BA6" w:rsidRPr="00EC7329" w:rsidRDefault="00EC7329" w:rsidP="00487763">
      <w:pPr>
        <w:pStyle w:val="Heading1"/>
        <w:numPr>
          <w:ilvl w:val="0"/>
          <w:numId w:val="7"/>
        </w:numPr>
        <w:spacing w:before="0" w:line="264" w:lineRule="auto"/>
        <w:ind w:left="540" w:hanging="540"/>
        <w:rPr>
          <w:color w:val="000000"/>
          <w:sz w:val="22"/>
          <w:lang w:val="fr-CA"/>
        </w:rPr>
      </w:pPr>
      <w:bookmarkStart w:id="6" w:name="_Toc68950163"/>
      <w:r w:rsidRPr="00EC7329">
        <w:rPr>
          <w:color w:val="000000"/>
          <w:lang w:val="fr-CA"/>
        </w:rPr>
        <w:lastRenderedPageBreak/>
        <w:t>Principaux risques</w:t>
      </w:r>
      <w:bookmarkEnd w:id="6"/>
    </w:p>
    <w:p w14:paraId="4318127D" w14:textId="77777777" w:rsidR="00673207" w:rsidRDefault="00673207" w:rsidP="00487763">
      <w:pPr>
        <w:spacing w:line="264" w:lineRule="auto"/>
        <w:ind w:left="547"/>
        <w:rPr>
          <w:rFonts w:ascii="Arial" w:eastAsia="Arial" w:hAnsi="Arial" w:cs="Arial"/>
        </w:rPr>
      </w:pPr>
    </w:p>
    <w:p w14:paraId="0D8A1690" w14:textId="62398A43" w:rsidR="00CC4BA6" w:rsidRPr="00D25D00" w:rsidRDefault="00D25D00" w:rsidP="00D25D00">
      <w:pPr>
        <w:numPr>
          <w:ilvl w:val="1"/>
          <w:numId w:val="7"/>
        </w:numPr>
        <w:spacing w:before="120" w:line="264" w:lineRule="auto"/>
        <w:ind w:left="1260" w:hanging="720"/>
        <w:rPr>
          <w:rFonts w:ascii="Arial" w:hAnsi="Arial" w:cs="Arial"/>
          <w:lang w:val="fr-CA"/>
        </w:rPr>
      </w:pPr>
      <w:r w:rsidRPr="00D25D00">
        <w:rPr>
          <w:rFonts w:ascii="Arial" w:hAnsi="Arial" w:cs="Arial"/>
          <w:lang w:val="fr-CA"/>
        </w:rPr>
        <w:t xml:space="preserve">Les principaux risques auxquels la Fiducie est confrontée sont décrits ci-dessous. Ces risques devraient être considérés dans le contexte des principes sous-jacents articulés dans la section 3 ci-dessus. </w:t>
      </w:r>
    </w:p>
    <w:p w14:paraId="562CE281" w14:textId="1E93AF09" w:rsidR="00206C39" w:rsidRPr="00206C39" w:rsidRDefault="00206C39" w:rsidP="00206C39">
      <w:pPr>
        <w:numPr>
          <w:ilvl w:val="0"/>
          <w:numId w:val="3"/>
        </w:numPr>
        <w:tabs>
          <w:tab w:val="left" w:pos="1800"/>
        </w:tabs>
        <w:spacing w:before="120" w:line="264" w:lineRule="auto"/>
        <w:ind w:left="1699" w:hanging="432"/>
        <w:rPr>
          <w:rFonts w:ascii="Arial" w:eastAsia="Arial" w:hAnsi="Arial" w:cs="Arial"/>
        </w:rPr>
      </w:pPr>
      <w:r w:rsidRPr="00206C39">
        <w:rPr>
          <w:rFonts w:ascii="Arial" w:hAnsi="Arial" w:cs="Arial"/>
          <w:b/>
          <w:lang w:val="fr-CA"/>
        </w:rPr>
        <w:t>Coûts et modèles de demandes de règlement :</w:t>
      </w:r>
      <w:r w:rsidRPr="00206C39">
        <w:rPr>
          <w:rFonts w:ascii="Arial" w:hAnsi="Arial" w:cs="Arial"/>
          <w:lang w:val="fr-CA"/>
        </w:rPr>
        <w:t xml:space="preserve"> Il s’agit du risque que les coûts des demandes de règlement, ou leur fréquence, soient plus élevés que prévu. Cela comprend le risque que les coûts des demandes de règlement augmentent à un rythme plus rapide et (ou) que l’utilisation soit plus élevée que prévu lors de l’évaluation de la suffisance des cotisations. Le risque de fraude aux prestations doit également être pris en compte. </w:t>
      </w:r>
    </w:p>
    <w:p w14:paraId="3D0BB8D6" w14:textId="77777777" w:rsidR="004D1117" w:rsidRDefault="00560093" w:rsidP="004D1117">
      <w:pPr>
        <w:numPr>
          <w:ilvl w:val="0"/>
          <w:numId w:val="3"/>
        </w:numPr>
        <w:tabs>
          <w:tab w:val="left" w:pos="1800"/>
        </w:tabs>
        <w:spacing w:before="120" w:line="264" w:lineRule="auto"/>
        <w:ind w:left="1699" w:hanging="432"/>
        <w:rPr>
          <w:rFonts w:ascii="Arial" w:eastAsia="Arial" w:hAnsi="Arial" w:cs="Arial"/>
        </w:rPr>
      </w:pPr>
      <w:r w:rsidRPr="0069752B">
        <w:rPr>
          <w:rFonts w:ascii="Arial" w:eastAsia="Arial" w:hAnsi="Arial" w:cs="Arial"/>
          <w:b/>
          <w:lang w:val="fr-CA"/>
        </w:rPr>
        <w:t>Participants</w:t>
      </w:r>
      <w:r w:rsidR="00206C39" w:rsidRPr="0069752B">
        <w:rPr>
          <w:rFonts w:ascii="Arial" w:eastAsia="Arial" w:hAnsi="Arial" w:cs="Arial"/>
          <w:b/>
          <w:lang w:val="fr-CA"/>
        </w:rPr>
        <w:t xml:space="preserve"> </w:t>
      </w:r>
      <w:r w:rsidR="001466D1" w:rsidRPr="004D1117">
        <w:rPr>
          <w:rFonts w:ascii="Arial" w:eastAsia="Arial" w:hAnsi="Arial" w:cs="Arial"/>
          <w:b/>
          <w:lang w:val="fr-CA"/>
        </w:rPr>
        <w:t>:</w:t>
      </w:r>
      <w:r w:rsidR="00673207" w:rsidRPr="004D1117">
        <w:rPr>
          <w:rFonts w:ascii="Arial" w:eastAsia="Arial" w:hAnsi="Arial" w:cs="Arial"/>
          <w:b/>
        </w:rPr>
        <w:t xml:space="preserve"> </w:t>
      </w:r>
      <w:r w:rsidRPr="00560093">
        <w:rPr>
          <w:rFonts w:ascii="Arial" w:hAnsi="Arial" w:cs="Arial"/>
          <w:lang w:val="fr-CA"/>
        </w:rPr>
        <w:t xml:space="preserve">Il peut y avoir un risque pour la Fiducie si le profil des participants </w:t>
      </w:r>
      <w:r w:rsidR="0069752B" w:rsidRPr="00560093">
        <w:rPr>
          <w:rFonts w:ascii="Arial" w:hAnsi="Arial" w:cs="Arial"/>
          <w:lang w:val="fr-CA"/>
        </w:rPr>
        <w:t>change de manière significative. Cela pourrait également être le résultat d’un changement dans la structure de l’emploi, avec une plus grande proportion d’emplois à temps partiel ou d’enseignants suppléants admissibles à long terme, ou encore d’un changement dans l’âge, le sexe ou la protection individuelle/familiale des participants, par exemple.</w:t>
      </w:r>
      <w:r w:rsidRPr="00560093">
        <w:rPr>
          <w:rFonts w:ascii="Arial" w:hAnsi="Arial" w:cs="Arial"/>
          <w:lang w:val="fr-CA"/>
        </w:rPr>
        <w:t xml:space="preserve"> </w:t>
      </w:r>
    </w:p>
    <w:p w14:paraId="2C0803C5" w14:textId="77777777" w:rsidR="00D15363" w:rsidRDefault="004D1117" w:rsidP="00D15363">
      <w:pPr>
        <w:numPr>
          <w:ilvl w:val="0"/>
          <w:numId w:val="3"/>
        </w:numPr>
        <w:tabs>
          <w:tab w:val="left" w:pos="1800"/>
        </w:tabs>
        <w:spacing w:before="120" w:line="264" w:lineRule="auto"/>
        <w:ind w:left="1699" w:hanging="432"/>
        <w:rPr>
          <w:rFonts w:ascii="Arial" w:eastAsia="Arial" w:hAnsi="Arial" w:cs="Arial"/>
        </w:rPr>
      </w:pPr>
      <w:r w:rsidRPr="004D1117">
        <w:rPr>
          <w:rFonts w:ascii="Arial" w:hAnsi="Arial" w:cs="Arial"/>
          <w:b/>
          <w:lang w:val="fr-CA"/>
        </w:rPr>
        <w:t>Partage des coûts entre les participants :</w:t>
      </w:r>
      <w:r w:rsidRPr="004D1117">
        <w:rPr>
          <w:rFonts w:ascii="Arial" w:hAnsi="Arial" w:cs="Arial"/>
          <w:lang w:val="fr-CA"/>
        </w:rPr>
        <w:t xml:space="preserve"> Il peut y avoir un risque pour la Fiducie dans la mesure où le partage des coûts entre les participants n’est pas maintenu à la proportion convenue du coût des prestations chaque année du régime. Le partage des coûts entre les participants peut différer en raison du retard dans la mise en œuvre des augmentations ou des diminutions de primes ou en raison de la mise en œuvre d’une modification de la prime du participant qui est différente de la modification de la prime globale.  </w:t>
      </w:r>
    </w:p>
    <w:p w14:paraId="5043D572" w14:textId="77777777" w:rsidR="00E00FC1" w:rsidRDefault="00261590" w:rsidP="00E00FC1">
      <w:pPr>
        <w:numPr>
          <w:ilvl w:val="0"/>
          <w:numId w:val="3"/>
        </w:numPr>
        <w:tabs>
          <w:tab w:val="left" w:pos="1800"/>
        </w:tabs>
        <w:spacing w:before="120" w:line="264" w:lineRule="auto"/>
        <w:ind w:left="1699" w:hanging="432"/>
        <w:rPr>
          <w:rFonts w:ascii="Arial" w:eastAsia="Arial" w:hAnsi="Arial" w:cs="Arial"/>
        </w:rPr>
      </w:pPr>
      <w:r w:rsidRPr="00D15363">
        <w:rPr>
          <w:rFonts w:ascii="Arial" w:hAnsi="Arial" w:cs="Arial"/>
          <w:b/>
          <w:lang w:val="fr-CA"/>
        </w:rPr>
        <w:t>Risque réglementaire :</w:t>
      </w:r>
      <w:r w:rsidRPr="00D15363">
        <w:rPr>
          <w:rFonts w:ascii="Arial" w:hAnsi="Arial" w:cs="Arial"/>
          <w:lang w:val="fr-CA"/>
        </w:rPr>
        <w:t xml:space="preserve"> Le risque réglementaire est le risque que des changements législatifs ou réglementaires (p. ex., le retrait de la liste des services médicaux couverts par le Régime d’assurance-maladie de l’Ontario, l’abrogation d’OHIP+) se produisent et </w:t>
      </w:r>
      <w:proofErr w:type="gramStart"/>
      <w:r w:rsidRPr="00D15363">
        <w:rPr>
          <w:rFonts w:ascii="Arial" w:hAnsi="Arial" w:cs="Arial"/>
          <w:lang w:val="fr-CA"/>
        </w:rPr>
        <w:t>aient</w:t>
      </w:r>
      <w:proofErr w:type="gramEnd"/>
      <w:r w:rsidRPr="00D15363">
        <w:rPr>
          <w:rFonts w:ascii="Arial" w:hAnsi="Arial" w:cs="Arial"/>
          <w:lang w:val="fr-CA"/>
        </w:rPr>
        <w:t xml:space="preserve"> des répercussions négatives sur les obligations de la Fiducie. </w:t>
      </w:r>
    </w:p>
    <w:p w14:paraId="01286842" w14:textId="77777777" w:rsidR="00180904" w:rsidRDefault="00E00FC1" w:rsidP="00180904">
      <w:pPr>
        <w:numPr>
          <w:ilvl w:val="0"/>
          <w:numId w:val="3"/>
        </w:numPr>
        <w:tabs>
          <w:tab w:val="left" w:pos="1800"/>
        </w:tabs>
        <w:spacing w:before="120" w:line="264" w:lineRule="auto"/>
        <w:ind w:left="1699" w:hanging="432"/>
        <w:rPr>
          <w:rFonts w:ascii="Arial" w:eastAsia="Arial" w:hAnsi="Arial" w:cs="Arial"/>
        </w:rPr>
      </w:pPr>
      <w:r w:rsidRPr="00E00FC1">
        <w:rPr>
          <w:rFonts w:ascii="Arial" w:hAnsi="Arial" w:cs="Arial"/>
          <w:b/>
          <w:lang w:val="fr-CA"/>
        </w:rPr>
        <w:t>Investissement :</w:t>
      </w:r>
      <w:r w:rsidRPr="00E00FC1">
        <w:rPr>
          <w:rFonts w:ascii="Arial" w:hAnsi="Arial" w:cs="Arial"/>
          <w:lang w:val="fr-CA"/>
        </w:rPr>
        <w:t xml:space="preserve"> Le risque d’investissement est lié aux rendements des investissements réalisés par la Fiducie qui ne sont pas proportionnels au niveau de risque assumé ou qui n’atteignent pas les objectifs de rendement attendus à long terme fixés par la Fiducie. </w:t>
      </w:r>
    </w:p>
    <w:p w14:paraId="546E7DBD" w14:textId="063455F1" w:rsidR="00410F5B" w:rsidRPr="00180904" w:rsidRDefault="00410F5B" w:rsidP="00180904">
      <w:pPr>
        <w:numPr>
          <w:ilvl w:val="0"/>
          <w:numId w:val="3"/>
        </w:numPr>
        <w:tabs>
          <w:tab w:val="left" w:pos="1800"/>
        </w:tabs>
        <w:spacing w:before="120" w:line="264" w:lineRule="auto"/>
        <w:ind w:left="1699" w:hanging="432"/>
        <w:rPr>
          <w:rFonts w:ascii="Arial" w:eastAsia="Arial" w:hAnsi="Arial" w:cs="Arial"/>
        </w:rPr>
      </w:pPr>
      <w:r w:rsidRPr="00180904">
        <w:rPr>
          <w:rFonts w:ascii="Arial" w:hAnsi="Arial" w:cs="Arial"/>
          <w:b/>
          <w:lang w:val="fr-CA"/>
        </w:rPr>
        <w:t>Financement fixe :</w:t>
      </w:r>
      <w:r w:rsidRPr="00180904">
        <w:rPr>
          <w:rFonts w:ascii="Arial" w:hAnsi="Arial" w:cs="Arial"/>
          <w:lang w:val="fr-CA"/>
        </w:rPr>
        <w:t xml:space="preserve"> Le financement du régime est fixé en fonction de la convention collective. Il existe un risque que le financement ne soit pas suffisant et que la </w:t>
      </w:r>
      <w:r w:rsidR="00180904" w:rsidRPr="00180904">
        <w:rPr>
          <w:rFonts w:ascii="Arial" w:hAnsi="Arial" w:cs="Arial"/>
          <w:lang w:val="fr-CA"/>
        </w:rPr>
        <w:t xml:space="preserve">réserve pour fluctuation des demandes de règlement </w:t>
      </w:r>
      <w:r w:rsidRPr="00180904">
        <w:rPr>
          <w:rFonts w:ascii="Arial" w:hAnsi="Arial" w:cs="Arial"/>
          <w:lang w:val="fr-CA"/>
        </w:rPr>
        <w:t xml:space="preserve">soit épuisée sans qu’il soit possible de négocier des montants de financement par ETP plus élevés. Si les niveaux de financement du Régime sont négociés dans </w:t>
      </w:r>
      <w:r w:rsidR="00180904" w:rsidRPr="00180904">
        <w:rPr>
          <w:rFonts w:ascii="Arial" w:hAnsi="Arial" w:cs="Arial"/>
          <w:lang w:val="fr-CA"/>
        </w:rPr>
        <w:t>le renouvellement d’</w:t>
      </w:r>
      <w:r w:rsidRPr="00180904">
        <w:rPr>
          <w:rFonts w:ascii="Arial" w:hAnsi="Arial" w:cs="Arial"/>
          <w:lang w:val="fr-CA"/>
        </w:rPr>
        <w:t xml:space="preserve">une convention collective, mais que celle-ci n’est pas conclue en temps opportun, il existe également un risque que le financement du Régime prenne du retard et que la </w:t>
      </w:r>
      <w:r w:rsidR="00180904" w:rsidRPr="00180904">
        <w:rPr>
          <w:rFonts w:ascii="Arial" w:hAnsi="Arial" w:cs="Arial"/>
          <w:lang w:val="fr-CA"/>
        </w:rPr>
        <w:t xml:space="preserve">réserve pour fluctuation des demandes de règlement </w:t>
      </w:r>
      <w:r w:rsidRPr="00180904">
        <w:rPr>
          <w:rFonts w:ascii="Arial" w:hAnsi="Arial" w:cs="Arial"/>
          <w:lang w:val="fr-CA"/>
        </w:rPr>
        <w:t>soit épuisée en attendant la conclusion des négociations et tout paiement rétroactif.</w:t>
      </w:r>
    </w:p>
    <w:p w14:paraId="57700999" w14:textId="77777777" w:rsidR="00410F5B" w:rsidRPr="00A9092A" w:rsidRDefault="00410F5B" w:rsidP="00180904">
      <w:pPr>
        <w:tabs>
          <w:tab w:val="left" w:pos="1800"/>
        </w:tabs>
        <w:spacing w:before="120" w:line="264" w:lineRule="auto"/>
        <w:ind w:left="1699"/>
        <w:rPr>
          <w:rFonts w:ascii="Arial" w:eastAsia="Arial" w:hAnsi="Arial" w:cs="Arial"/>
        </w:rPr>
      </w:pPr>
    </w:p>
    <w:p w14:paraId="0F6E4B21" w14:textId="767AF9FC" w:rsidR="006A696B" w:rsidRPr="003E216B" w:rsidRDefault="003E216B" w:rsidP="00487763">
      <w:pPr>
        <w:numPr>
          <w:ilvl w:val="0"/>
          <w:numId w:val="3"/>
        </w:numPr>
        <w:tabs>
          <w:tab w:val="left" w:pos="1800"/>
        </w:tabs>
        <w:spacing w:before="120" w:line="264" w:lineRule="auto"/>
        <w:ind w:left="1699" w:hanging="432"/>
        <w:rPr>
          <w:rFonts w:ascii="Arial" w:eastAsia="Arial" w:hAnsi="Arial" w:cs="Arial"/>
          <w:lang w:val="fr-CA"/>
        </w:rPr>
      </w:pPr>
      <w:r>
        <w:rPr>
          <w:rFonts w:ascii="Arial" w:eastAsia="Arial" w:hAnsi="Arial" w:cs="Arial"/>
          <w:b/>
          <w:lang w:val="fr-CA"/>
        </w:rPr>
        <w:lastRenderedPageBreak/>
        <w:t>Autres risques identifiés par la Fiducie et décrits dans le tableau de bord des risques de la FSSBE d’</w:t>
      </w:r>
      <w:r w:rsidR="006A696B" w:rsidRPr="003E216B">
        <w:rPr>
          <w:rFonts w:ascii="Arial" w:eastAsia="Arial" w:hAnsi="Arial" w:cs="Arial"/>
          <w:b/>
          <w:lang w:val="fr-CA"/>
        </w:rPr>
        <w:t>OSSTF</w:t>
      </w:r>
      <w:r>
        <w:rPr>
          <w:rFonts w:ascii="Arial" w:eastAsia="Arial" w:hAnsi="Arial" w:cs="Arial"/>
          <w:b/>
          <w:lang w:val="fr-CA"/>
        </w:rPr>
        <w:t>/FEESO</w:t>
      </w:r>
    </w:p>
    <w:p w14:paraId="1544EFDB" w14:textId="77777777" w:rsidR="00CC4BA6" w:rsidRDefault="00CC4BA6" w:rsidP="00487763">
      <w:pPr>
        <w:spacing w:line="264" w:lineRule="auto"/>
        <w:rPr>
          <w:rFonts w:ascii="Arial" w:eastAsia="Arial" w:hAnsi="Arial" w:cs="Arial"/>
        </w:rPr>
      </w:pPr>
    </w:p>
    <w:p w14:paraId="20112C1B" w14:textId="2A00B55F" w:rsidR="003E216B" w:rsidRPr="00285666" w:rsidRDefault="003E216B" w:rsidP="00285666">
      <w:pPr>
        <w:spacing w:line="264" w:lineRule="auto"/>
        <w:ind w:left="1701"/>
        <w:rPr>
          <w:rFonts w:ascii="Arial" w:eastAsia="Arial" w:hAnsi="Arial" w:cs="Arial"/>
        </w:rPr>
      </w:pPr>
      <w:r w:rsidRPr="00950C06">
        <w:rPr>
          <w:rFonts w:ascii="Arial" w:hAnsi="Arial" w:cs="Arial"/>
          <w:lang w:val="fr-CA"/>
        </w:rPr>
        <w:t xml:space="preserve">Certains des risques décrits ci-dessus échappent au contrôle des </w:t>
      </w:r>
      <w:r w:rsidR="00285666">
        <w:rPr>
          <w:rFonts w:ascii="Arial" w:hAnsi="Arial" w:cs="Arial"/>
          <w:lang w:val="fr-CA"/>
        </w:rPr>
        <w:t>f</w:t>
      </w:r>
      <w:r w:rsidRPr="00950C06">
        <w:rPr>
          <w:rFonts w:ascii="Arial" w:hAnsi="Arial" w:cs="Arial"/>
          <w:lang w:val="fr-CA"/>
        </w:rPr>
        <w:t xml:space="preserve">iduciaires alors que d’autres peuvent être gérés par les </w:t>
      </w:r>
      <w:r w:rsidR="00285666">
        <w:rPr>
          <w:rFonts w:ascii="Arial" w:hAnsi="Arial" w:cs="Arial"/>
          <w:lang w:val="fr-CA"/>
        </w:rPr>
        <w:t>f</w:t>
      </w:r>
      <w:r w:rsidRPr="00950C06">
        <w:rPr>
          <w:rFonts w:ascii="Arial" w:hAnsi="Arial" w:cs="Arial"/>
          <w:lang w:val="fr-CA"/>
        </w:rPr>
        <w:t xml:space="preserve">iduciaires au fil du temps. Par exemple, les risques réglementaires ne sont pas sous le contrôle des fiduciaires, mais le risque lié au coût des </w:t>
      </w:r>
      <w:r w:rsidR="00285666">
        <w:rPr>
          <w:rFonts w:ascii="Arial" w:hAnsi="Arial" w:cs="Arial"/>
          <w:lang w:val="fr-CA"/>
        </w:rPr>
        <w:t xml:space="preserve">demandes de règlement </w:t>
      </w:r>
      <w:r w:rsidRPr="00950C06">
        <w:rPr>
          <w:rFonts w:ascii="Arial" w:hAnsi="Arial" w:cs="Arial"/>
          <w:lang w:val="fr-CA"/>
        </w:rPr>
        <w:t xml:space="preserve">peut être contrôlé par l’établissement de niveaux de prestations inférieurs et d’autres approches de gestion du </w:t>
      </w:r>
      <w:r w:rsidR="00285666">
        <w:rPr>
          <w:rFonts w:ascii="Arial" w:hAnsi="Arial" w:cs="Arial"/>
          <w:lang w:val="fr-CA"/>
        </w:rPr>
        <w:t>régime</w:t>
      </w:r>
      <w:r w:rsidRPr="00950C06">
        <w:rPr>
          <w:rFonts w:ascii="Arial" w:hAnsi="Arial" w:cs="Arial"/>
          <w:lang w:val="fr-CA"/>
        </w:rPr>
        <w:t>. La présente politique vise à fournir un cadre permettant aux fiduciaires de gérer et de surveiller les risques de manière prudente, lorsque cela est possible et pratique. </w:t>
      </w:r>
    </w:p>
    <w:p w14:paraId="10B2673F" w14:textId="2BE4909E" w:rsidR="00673207" w:rsidRDefault="00673207" w:rsidP="003D6F9F">
      <w:pPr>
        <w:spacing w:line="264" w:lineRule="auto"/>
        <w:ind w:left="1701"/>
        <w:rPr>
          <w:rFonts w:ascii="Arial" w:eastAsia="Arial" w:hAnsi="Arial" w:cs="Arial"/>
        </w:rPr>
      </w:pPr>
      <w:r>
        <w:rPr>
          <w:rFonts w:ascii="Arial" w:eastAsia="Arial" w:hAnsi="Arial" w:cs="Arial"/>
        </w:rPr>
        <w:br w:type="page"/>
      </w:r>
    </w:p>
    <w:p w14:paraId="272FA8B1" w14:textId="7E6905EB" w:rsidR="00CC4BA6" w:rsidRPr="005C5B24" w:rsidRDefault="005C5B24" w:rsidP="00487763">
      <w:pPr>
        <w:pStyle w:val="Heading1"/>
        <w:numPr>
          <w:ilvl w:val="0"/>
          <w:numId w:val="7"/>
        </w:numPr>
        <w:spacing w:before="0" w:line="264" w:lineRule="auto"/>
        <w:ind w:left="540" w:hanging="540"/>
        <w:rPr>
          <w:color w:val="000000"/>
          <w:sz w:val="22"/>
          <w:lang w:val="fr-CA"/>
        </w:rPr>
      </w:pPr>
      <w:bookmarkStart w:id="7" w:name="_Toc68950164"/>
      <w:r w:rsidRPr="005C5B24">
        <w:rPr>
          <w:color w:val="000000"/>
          <w:lang w:val="fr-CA"/>
        </w:rPr>
        <w:lastRenderedPageBreak/>
        <w:t>Gestion des risques</w:t>
      </w:r>
      <w:bookmarkEnd w:id="7"/>
    </w:p>
    <w:p w14:paraId="6A6748BE" w14:textId="77777777" w:rsidR="00673207" w:rsidRDefault="00673207" w:rsidP="00487763">
      <w:pPr>
        <w:spacing w:line="264" w:lineRule="auto"/>
        <w:ind w:left="567"/>
        <w:rPr>
          <w:rFonts w:ascii="Arial" w:eastAsia="Arial" w:hAnsi="Arial" w:cs="Arial"/>
        </w:rPr>
      </w:pPr>
    </w:p>
    <w:p w14:paraId="2060DB4A" w14:textId="7CDE0B61" w:rsidR="00975862" w:rsidRPr="00975862" w:rsidRDefault="00975862" w:rsidP="00975862">
      <w:pPr>
        <w:numPr>
          <w:ilvl w:val="1"/>
          <w:numId w:val="7"/>
        </w:numPr>
        <w:spacing w:line="264" w:lineRule="auto"/>
        <w:ind w:left="1260" w:hanging="693"/>
        <w:rPr>
          <w:rFonts w:ascii="Arial" w:eastAsia="Arial" w:hAnsi="Arial" w:cs="Arial"/>
        </w:rPr>
      </w:pPr>
      <w:r w:rsidRPr="00975862">
        <w:rPr>
          <w:rFonts w:ascii="Arial" w:hAnsi="Arial" w:cs="Arial"/>
          <w:lang w:val="fr-CA"/>
        </w:rPr>
        <w:t>La structure du passif et les flux de trésorerie de la Fiducie, actuels et projetés, ainsi que les risques qui y sont liés sont pris en compte, surveillés et gérés de la manière suivante :</w:t>
      </w:r>
    </w:p>
    <w:p w14:paraId="321DCD2C" w14:textId="4A7A7391" w:rsidR="00EC4C77" w:rsidRDefault="00F6362C" w:rsidP="00F6362C">
      <w:pPr>
        <w:numPr>
          <w:ilvl w:val="0"/>
          <w:numId w:val="4"/>
        </w:numPr>
        <w:tabs>
          <w:tab w:val="left" w:pos="1800"/>
        </w:tabs>
        <w:spacing w:before="120" w:line="264" w:lineRule="auto"/>
        <w:ind w:left="1699" w:hanging="432"/>
        <w:rPr>
          <w:rFonts w:ascii="Arial" w:eastAsia="Arial" w:hAnsi="Arial" w:cs="Arial"/>
        </w:rPr>
      </w:pPr>
      <w:r w:rsidRPr="00F6362C">
        <w:rPr>
          <w:rFonts w:ascii="Arial" w:hAnsi="Arial" w:cs="Arial"/>
          <w:b/>
          <w:lang w:val="fr-CA"/>
        </w:rPr>
        <w:t>Examen des demandes de règlement</w:t>
      </w:r>
      <w:r w:rsidRPr="00F6362C">
        <w:rPr>
          <w:rFonts w:ascii="Arial" w:hAnsi="Arial" w:cs="Arial"/>
          <w:lang w:val="fr-CA"/>
        </w:rPr>
        <w:t xml:space="preserve"> </w:t>
      </w:r>
      <w:r w:rsidRPr="00F6362C">
        <w:rPr>
          <w:rFonts w:ascii="Arial" w:hAnsi="Arial" w:cs="Arial"/>
          <w:b/>
          <w:lang w:val="fr-CA"/>
        </w:rPr>
        <w:t>:</w:t>
      </w:r>
      <w:r w:rsidRPr="00F6362C">
        <w:rPr>
          <w:rFonts w:ascii="Arial" w:hAnsi="Arial" w:cs="Arial"/>
          <w:lang w:val="fr-CA"/>
        </w:rPr>
        <w:t xml:space="preserve"> Les fiduciaires procèdent périodiquement à un examen détaillé des tendances en matière de demandes de règlement et des changements dans la prestation des soins de santé en Ontario afin de s’assurer que les prestations sont fournies aussi efficacement que possible dans l</w:t>
      </w:r>
      <w:r w:rsidR="007A748B">
        <w:rPr>
          <w:rFonts w:ascii="Arial" w:hAnsi="Arial" w:cs="Arial"/>
          <w:lang w:val="fr-CA"/>
        </w:rPr>
        <w:t>'</w:t>
      </w:r>
      <w:r w:rsidRPr="00F6362C">
        <w:rPr>
          <w:rFonts w:ascii="Arial" w:hAnsi="Arial" w:cs="Arial"/>
          <w:lang w:val="fr-CA"/>
        </w:rPr>
        <w:t>intérêt</w:t>
      </w:r>
      <w:r w:rsidR="007A748B">
        <w:rPr>
          <w:rFonts w:ascii="Arial" w:hAnsi="Arial" w:cs="Arial"/>
          <w:lang w:val="fr-CA"/>
        </w:rPr>
        <w:t xml:space="preserve"> fondamental</w:t>
      </w:r>
      <w:r w:rsidRPr="00F6362C">
        <w:rPr>
          <w:rFonts w:ascii="Arial" w:hAnsi="Arial" w:cs="Arial"/>
          <w:lang w:val="fr-CA"/>
        </w:rPr>
        <w:t xml:space="preserve"> des bénéficiaires de la Fiducie. Les fiduciaires peuvent également examiner les pratiques de gestion appropriées pour un régime d’avantages sociaux collectif. Les fiduciaires déterminent la fréquence de ces examens en fonction de l’expérience émergente de la Fiducie.</w:t>
      </w:r>
    </w:p>
    <w:p w14:paraId="53531F58" w14:textId="0380129D" w:rsidR="00AD2628" w:rsidRPr="00EC4C77" w:rsidRDefault="00F6362C" w:rsidP="00EC4C77">
      <w:pPr>
        <w:numPr>
          <w:ilvl w:val="0"/>
          <w:numId w:val="4"/>
        </w:numPr>
        <w:tabs>
          <w:tab w:val="left" w:pos="1800"/>
        </w:tabs>
        <w:spacing w:before="120" w:line="264" w:lineRule="auto"/>
        <w:ind w:left="1699" w:hanging="432"/>
        <w:rPr>
          <w:rFonts w:ascii="Arial" w:eastAsia="Arial" w:hAnsi="Arial" w:cs="Arial"/>
        </w:rPr>
      </w:pPr>
      <w:r w:rsidRPr="00EC4C77">
        <w:rPr>
          <w:rFonts w:ascii="Arial" w:hAnsi="Arial" w:cs="Arial"/>
          <w:b/>
          <w:lang w:val="fr-CA"/>
        </w:rPr>
        <w:t>Vérifications des prestations/demandes de règlement :</w:t>
      </w:r>
      <w:r w:rsidRPr="00EC4C77">
        <w:rPr>
          <w:rFonts w:ascii="Arial" w:hAnsi="Arial" w:cs="Arial"/>
          <w:lang w:val="fr-CA"/>
        </w:rPr>
        <w:t xml:space="preserve"> Périodiquement, sur les conseils du consultant et (ou) de l’assureur, les fiduciaires vérifient les demandes de règlement soumises par un</w:t>
      </w:r>
      <w:r w:rsidR="00325783" w:rsidRPr="00EC4C77">
        <w:rPr>
          <w:rFonts w:ascii="Arial" w:hAnsi="Arial" w:cs="Arial"/>
          <w:lang w:val="fr-CA"/>
        </w:rPr>
        <w:t xml:space="preserve"> participant</w:t>
      </w:r>
      <w:r w:rsidRPr="00EC4C77">
        <w:rPr>
          <w:rFonts w:ascii="Arial" w:hAnsi="Arial" w:cs="Arial"/>
          <w:lang w:val="fr-CA"/>
        </w:rPr>
        <w:t xml:space="preserve"> ou un fournisseur pour s’assurer qu’elles sont conformes aux conditions du régime et à la police d’assurance.</w:t>
      </w:r>
    </w:p>
    <w:p w14:paraId="560F70A7" w14:textId="77777777" w:rsidR="008E7D65" w:rsidRDefault="008E7D65" w:rsidP="008E7D65">
      <w:pPr>
        <w:numPr>
          <w:ilvl w:val="0"/>
          <w:numId w:val="4"/>
        </w:numPr>
        <w:tabs>
          <w:tab w:val="left" w:pos="1800"/>
        </w:tabs>
        <w:spacing w:before="120" w:line="264" w:lineRule="auto"/>
        <w:ind w:left="1699" w:hanging="432"/>
        <w:rPr>
          <w:rFonts w:ascii="Arial" w:eastAsia="Arial" w:hAnsi="Arial" w:cs="Arial"/>
        </w:rPr>
      </w:pPr>
      <w:r w:rsidRPr="008E7D65">
        <w:rPr>
          <w:rFonts w:ascii="Arial" w:hAnsi="Arial" w:cs="Arial"/>
          <w:b/>
          <w:lang w:val="fr-CA"/>
        </w:rPr>
        <w:t>Études de projection :</w:t>
      </w:r>
      <w:r w:rsidRPr="008E7D65">
        <w:rPr>
          <w:rFonts w:ascii="Arial" w:hAnsi="Arial" w:cs="Arial"/>
          <w:lang w:val="fr-CA"/>
        </w:rPr>
        <w:t xml:space="preserve"> Les fiduciaires procèdent à des évaluations actuarielles annuelles du régime, conformément à l’article 6.1.</w:t>
      </w:r>
    </w:p>
    <w:p w14:paraId="24C4985F" w14:textId="77777777" w:rsidR="008E7D65" w:rsidRDefault="008E7D65" w:rsidP="008E7D65">
      <w:pPr>
        <w:numPr>
          <w:ilvl w:val="0"/>
          <w:numId w:val="4"/>
        </w:numPr>
        <w:tabs>
          <w:tab w:val="left" w:pos="1800"/>
        </w:tabs>
        <w:spacing w:before="120" w:line="264" w:lineRule="auto"/>
        <w:ind w:left="1699" w:hanging="432"/>
        <w:rPr>
          <w:rFonts w:ascii="Arial" w:eastAsia="Arial" w:hAnsi="Arial" w:cs="Arial"/>
        </w:rPr>
      </w:pPr>
      <w:r w:rsidRPr="008E7D65">
        <w:rPr>
          <w:rFonts w:ascii="Arial" w:hAnsi="Arial" w:cs="Arial"/>
          <w:b/>
          <w:lang w:val="fr-CA"/>
        </w:rPr>
        <w:t>Énoncé des politiques et procédures en matière de placement</w:t>
      </w:r>
      <w:r w:rsidRPr="008E7D65">
        <w:rPr>
          <w:rFonts w:ascii="Arial" w:hAnsi="Arial" w:cs="Arial"/>
          <w:lang w:val="fr-CA"/>
        </w:rPr>
        <w:t xml:space="preserve"> (la « politique de placement ») : La politique de placement reflète les flux de trésorerie estimés (demandes, dépenses et revenus) et l’actif actuel du fonds. La politique de placement est contrôlée et approuvée ou modifiée par les fiduciaires au moins une fois par an.</w:t>
      </w:r>
    </w:p>
    <w:p w14:paraId="32B80A90" w14:textId="25163B65" w:rsidR="008E7D65" w:rsidRPr="008E7D65" w:rsidRDefault="008E7D65" w:rsidP="008E7D65">
      <w:pPr>
        <w:numPr>
          <w:ilvl w:val="0"/>
          <w:numId w:val="4"/>
        </w:numPr>
        <w:tabs>
          <w:tab w:val="left" w:pos="1800"/>
        </w:tabs>
        <w:spacing w:before="120" w:line="264" w:lineRule="auto"/>
        <w:ind w:left="1699" w:hanging="432"/>
        <w:rPr>
          <w:rFonts w:ascii="Arial" w:eastAsia="Arial" w:hAnsi="Arial" w:cs="Arial"/>
        </w:rPr>
      </w:pPr>
      <w:r w:rsidRPr="008E7D65">
        <w:rPr>
          <w:rFonts w:ascii="Arial" w:hAnsi="Arial" w:cs="Arial"/>
          <w:b/>
          <w:lang w:val="fr-CA"/>
        </w:rPr>
        <w:t>Surveillance des régimes :</w:t>
      </w:r>
      <w:r w:rsidRPr="008E7D65">
        <w:rPr>
          <w:rFonts w:ascii="Arial" w:hAnsi="Arial" w:cs="Arial"/>
          <w:lang w:val="fr-CA"/>
        </w:rPr>
        <w:t xml:space="preserve"> Les fiduciaires peuvent effectuer un suivi supplémentaire de la situation financière des régimes.</w:t>
      </w:r>
    </w:p>
    <w:p w14:paraId="78E6CD93" w14:textId="77777777" w:rsidR="00374FB4" w:rsidRDefault="00374FB4" w:rsidP="00487763">
      <w:pPr>
        <w:spacing w:line="264" w:lineRule="auto"/>
        <w:rPr>
          <w:rFonts w:ascii="Arial" w:eastAsia="Arial" w:hAnsi="Arial" w:cs="Arial"/>
          <w:b/>
        </w:rPr>
      </w:pPr>
      <w:r>
        <w:rPr>
          <w:rFonts w:ascii="Arial" w:eastAsia="Arial" w:hAnsi="Arial" w:cs="Arial"/>
          <w:b/>
        </w:rPr>
        <w:br w:type="page"/>
      </w:r>
    </w:p>
    <w:p w14:paraId="496985D9" w14:textId="720D9867" w:rsidR="00CC4BA6" w:rsidRPr="005C5B24" w:rsidRDefault="005C5B24" w:rsidP="00487763">
      <w:pPr>
        <w:pStyle w:val="Heading1"/>
        <w:numPr>
          <w:ilvl w:val="0"/>
          <w:numId w:val="7"/>
        </w:numPr>
        <w:spacing w:before="0" w:line="264" w:lineRule="auto"/>
        <w:ind w:left="540" w:hanging="540"/>
        <w:rPr>
          <w:color w:val="000000"/>
          <w:lang w:val="fr-CA"/>
        </w:rPr>
      </w:pPr>
      <w:bookmarkStart w:id="8" w:name="_Toc68950165"/>
      <w:r w:rsidRPr="005C5B24">
        <w:rPr>
          <w:color w:val="000000"/>
          <w:lang w:val="fr-CA"/>
        </w:rPr>
        <w:lastRenderedPageBreak/>
        <w:t>Évaluations actuarielles</w:t>
      </w:r>
      <w:bookmarkEnd w:id="8"/>
    </w:p>
    <w:p w14:paraId="7040C300" w14:textId="77777777" w:rsidR="00AD2628" w:rsidRPr="00AD2628" w:rsidRDefault="00AD2628" w:rsidP="00487763">
      <w:pPr>
        <w:spacing w:line="264" w:lineRule="auto"/>
      </w:pPr>
    </w:p>
    <w:p w14:paraId="266E88B4" w14:textId="118AD384" w:rsidR="007422A8" w:rsidRPr="007422A8" w:rsidRDefault="007422A8" w:rsidP="007422A8">
      <w:pPr>
        <w:numPr>
          <w:ilvl w:val="1"/>
          <w:numId w:val="7"/>
        </w:numPr>
        <w:spacing w:line="264" w:lineRule="auto"/>
        <w:ind w:left="1260" w:hanging="720"/>
        <w:rPr>
          <w:rFonts w:ascii="Arial" w:eastAsia="Arial" w:hAnsi="Arial" w:cs="Arial"/>
        </w:rPr>
      </w:pPr>
      <w:r w:rsidRPr="007422A8">
        <w:rPr>
          <w:rFonts w:ascii="Arial" w:hAnsi="Arial" w:cs="Arial"/>
          <w:lang w:val="fr-CA"/>
        </w:rPr>
        <w:t>Les fiduciaires procèdent à des évaluations actuarielles annuelles de la Fiducie. L’évaluation actuarielle annuelle comprendra des projections de l’adéquation des cotisations, y compris des évaluations des demandes de règlement, des dépenses et des revenus pour au moins trois ans. Les fiduciaires peuvent périodiquement, ou en conjonction avec l’évaluation actuarielle annuelle, effectuer une analyse de sensibilité évaluant les facteurs clés affectant la viabilité à long terme de la Fiducie.</w:t>
      </w:r>
    </w:p>
    <w:p w14:paraId="4A9B2EB6" w14:textId="77777777" w:rsidR="00AD2628" w:rsidRDefault="00AD2628" w:rsidP="00487763">
      <w:pPr>
        <w:spacing w:line="264" w:lineRule="auto"/>
        <w:ind w:left="540"/>
        <w:rPr>
          <w:rFonts w:ascii="Arial" w:eastAsia="Arial" w:hAnsi="Arial" w:cs="Arial"/>
        </w:rPr>
      </w:pPr>
    </w:p>
    <w:p w14:paraId="15E11CD0" w14:textId="40F6D4F4" w:rsidR="007422A8" w:rsidRPr="007422A8" w:rsidRDefault="007422A8" w:rsidP="007422A8">
      <w:pPr>
        <w:numPr>
          <w:ilvl w:val="1"/>
          <w:numId w:val="7"/>
        </w:numPr>
        <w:spacing w:line="264" w:lineRule="auto"/>
        <w:ind w:left="1260" w:hanging="720"/>
        <w:rPr>
          <w:rFonts w:ascii="Arial" w:eastAsia="Arial" w:hAnsi="Arial" w:cs="Arial"/>
        </w:rPr>
      </w:pPr>
      <w:r w:rsidRPr="007422A8">
        <w:rPr>
          <w:rFonts w:ascii="Arial" w:hAnsi="Arial" w:cs="Arial"/>
          <w:lang w:val="fr-CA"/>
        </w:rPr>
        <w:t>Aux fins de l’évaluation actuarielle annuelle de la Fiducie :</w:t>
      </w:r>
    </w:p>
    <w:p w14:paraId="31626FC7" w14:textId="56B05B10" w:rsidR="00782655" w:rsidRDefault="008440BF" w:rsidP="00782655">
      <w:pPr>
        <w:numPr>
          <w:ilvl w:val="0"/>
          <w:numId w:val="5"/>
        </w:numPr>
        <w:tabs>
          <w:tab w:val="left" w:pos="1800"/>
        </w:tabs>
        <w:spacing w:before="120" w:line="264" w:lineRule="auto"/>
        <w:ind w:left="1699" w:hanging="432"/>
        <w:rPr>
          <w:rFonts w:ascii="Arial" w:eastAsia="Arial" w:hAnsi="Arial" w:cs="Arial"/>
        </w:rPr>
      </w:pPr>
      <w:r w:rsidRPr="00782655">
        <w:rPr>
          <w:rFonts w:ascii="Arial" w:hAnsi="Arial" w:cs="Arial"/>
          <w:lang w:val="fr-CA"/>
        </w:rPr>
        <w:t>Toutes les principales hypothèses actuarielles seront déterminées sur la base des hypothèses les plus probables. L’ajustement de ces hypothèses, afin d’incorporer des marges pour les expériences défavorables (prudence), sera examiné à l’aide de toute analyse ou documentation justificative et inclus</w:t>
      </w:r>
      <w:r w:rsidR="007A748B">
        <w:rPr>
          <w:rFonts w:ascii="Arial" w:hAnsi="Arial" w:cs="Arial"/>
          <w:lang w:val="fr-CA"/>
        </w:rPr>
        <w:t>e</w:t>
      </w:r>
      <w:r w:rsidRPr="00782655">
        <w:rPr>
          <w:rFonts w:ascii="Arial" w:hAnsi="Arial" w:cs="Arial"/>
          <w:lang w:val="fr-CA"/>
        </w:rPr>
        <w:t>, selon les directives des fiduciaires, dans les hypothèses de tendance des demandes de règlement, les hypothèses de coût des demandes de règlement, les hypothèses de rendement des investissements et toute autre hypothèse pertinente pour l’analyse.</w:t>
      </w:r>
    </w:p>
    <w:p w14:paraId="751B35FC" w14:textId="77777777" w:rsidR="00E27831" w:rsidRDefault="008440BF" w:rsidP="00782655">
      <w:pPr>
        <w:numPr>
          <w:ilvl w:val="0"/>
          <w:numId w:val="5"/>
        </w:numPr>
        <w:tabs>
          <w:tab w:val="left" w:pos="1800"/>
        </w:tabs>
        <w:spacing w:before="120" w:line="264" w:lineRule="auto"/>
        <w:ind w:left="1699" w:hanging="432"/>
        <w:rPr>
          <w:rFonts w:ascii="Arial" w:eastAsia="Arial" w:hAnsi="Arial" w:cs="Arial"/>
        </w:rPr>
      </w:pPr>
      <w:r w:rsidRPr="00782655">
        <w:rPr>
          <w:rFonts w:ascii="Arial" w:hAnsi="Arial" w:cs="Arial"/>
          <w:lang w:val="fr-CA"/>
        </w:rPr>
        <w:t xml:space="preserve">Les hypothèses relatives aux </w:t>
      </w:r>
      <w:r w:rsidR="00782655" w:rsidRPr="00782655">
        <w:rPr>
          <w:rFonts w:ascii="Arial" w:hAnsi="Arial" w:cs="Arial"/>
          <w:lang w:val="fr-CA"/>
        </w:rPr>
        <w:t xml:space="preserve">demandes de règlement </w:t>
      </w:r>
      <w:r w:rsidRPr="00782655">
        <w:rPr>
          <w:rFonts w:ascii="Arial" w:hAnsi="Arial" w:cs="Arial"/>
          <w:lang w:val="fr-CA"/>
        </w:rPr>
        <w:t>et à la démographie seront basées sur l’expérience d</w:t>
      </w:r>
      <w:r w:rsidR="00782655" w:rsidRPr="00782655">
        <w:rPr>
          <w:rFonts w:ascii="Arial" w:hAnsi="Arial" w:cs="Arial"/>
          <w:lang w:val="fr-CA"/>
        </w:rPr>
        <w:t>e la Fiducie</w:t>
      </w:r>
      <w:r w:rsidRPr="00782655">
        <w:rPr>
          <w:rFonts w:ascii="Arial" w:hAnsi="Arial" w:cs="Arial"/>
          <w:lang w:val="fr-CA"/>
        </w:rPr>
        <w:t xml:space="preserve">, lorsque cela est possible, ou sur l’expérience standard de l’industrie, modifiée selon le cas. </w:t>
      </w:r>
    </w:p>
    <w:p w14:paraId="14E33E99" w14:textId="77777777" w:rsidR="00EB5DF6" w:rsidRDefault="008440BF" w:rsidP="00EB5DF6">
      <w:pPr>
        <w:numPr>
          <w:ilvl w:val="0"/>
          <w:numId w:val="5"/>
        </w:numPr>
        <w:tabs>
          <w:tab w:val="left" w:pos="1800"/>
        </w:tabs>
        <w:spacing w:before="120" w:line="264" w:lineRule="auto"/>
        <w:ind w:left="1699" w:hanging="432"/>
        <w:rPr>
          <w:rFonts w:ascii="Arial" w:eastAsia="Arial" w:hAnsi="Arial" w:cs="Arial"/>
        </w:rPr>
      </w:pPr>
      <w:r w:rsidRPr="00E27831">
        <w:rPr>
          <w:rFonts w:ascii="Arial" w:hAnsi="Arial" w:cs="Arial"/>
          <w:lang w:val="fr-CA"/>
        </w:rPr>
        <w:t>Les hypothèses relatives aux frais administratifs et aux dépenses liées aux placements seront fondées sur l’avis des fiduciaires.</w:t>
      </w:r>
    </w:p>
    <w:p w14:paraId="0525921C" w14:textId="77777777" w:rsidR="00EB5DF6" w:rsidRDefault="008440BF" w:rsidP="00EB5DF6">
      <w:pPr>
        <w:numPr>
          <w:ilvl w:val="0"/>
          <w:numId w:val="5"/>
        </w:numPr>
        <w:tabs>
          <w:tab w:val="left" w:pos="1800"/>
        </w:tabs>
        <w:spacing w:before="120" w:line="264" w:lineRule="auto"/>
        <w:ind w:left="1699" w:hanging="432"/>
        <w:rPr>
          <w:rFonts w:ascii="Arial" w:eastAsia="Arial" w:hAnsi="Arial" w:cs="Arial"/>
        </w:rPr>
      </w:pPr>
      <w:r w:rsidRPr="00EB5DF6">
        <w:rPr>
          <w:rFonts w:ascii="Arial" w:hAnsi="Arial" w:cs="Arial"/>
          <w:lang w:val="fr-CA"/>
        </w:rPr>
        <w:t>Les hypothèses relatives aux cotisations de l’employeur au-delà de l’expiration d’une convention collective centrale en vigueur reflètent un éventail de résultats possibles fondés sur l’avis des fiduciaires.</w:t>
      </w:r>
    </w:p>
    <w:p w14:paraId="33C71DE5" w14:textId="2776A624" w:rsidR="008440BF" w:rsidRPr="00EB5DF6" w:rsidRDefault="008440BF" w:rsidP="00EB5DF6">
      <w:pPr>
        <w:numPr>
          <w:ilvl w:val="0"/>
          <w:numId w:val="5"/>
        </w:numPr>
        <w:tabs>
          <w:tab w:val="left" w:pos="1800"/>
        </w:tabs>
        <w:spacing w:before="120" w:line="264" w:lineRule="auto"/>
        <w:ind w:left="1699" w:hanging="432"/>
        <w:rPr>
          <w:rFonts w:ascii="Arial" w:eastAsia="Arial" w:hAnsi="Arial" w:cs="Arial"/>
        </w:rPr>
      </w:pPr>
      <w:r w:rsidRPr="00EB5DF6">
        <w:rPr>
          <w:rFonts w:ascii="Arial" w:hAnsi="Arial" w:cs="Arial"/>
          <w:lang w:val="fr-CA"/>
        </w:rPr>
        <w:t>L’évaluation actuarielle sera soumise aux normes de pratique applicables de l’Institut canadien des actuaires.</w:t>
      </w:r>
    </w:p>
    <w:p w14:paraId="1DFF0E79" w14:textId="77777777" w:rsidR="00AD2628" w:rsidRDefault="00AD2628" w:rsidP="00487763">
      <w:pPr>
        <w:spacing w:line="264" w:lineRule="auto"/>
        <w:ind w:left="1094"/>
        <w:rPr>
          <w:rFonts w:ascii="Arial" w:eastAsia="Arial" w:hAnsi="Arial" w:cs="Arial"/>
        </w:rPr>
      </w:pPr>
    </w:p>
    <w:p w14:paraId="186C79D1" w14:textId="6AFABE6B" w:rsidR="004B7024" w:rsidRPr="004B7024" w:rsidRDefault="004B7024" w:rsidP="004B7024">
      <w:pPr>
        <w:numPr>
          <w:ilvl w:val="1"/>
          <w:numId w:val="7"/>
        </w:numPr>
        <w:spacing w:line="264" w:lineRule="auto"/>
        <w:ind w:left="1260" w:hanging="720"/>
        <w:rPr>
          <w:rFonts w:ascii="Arial" w:eastAsia="Arial" w:hAnsi="Arial" w:cs="Arial"/>
        </w:rPr>
      </w:pPr>
      <w:r w:rsidRPr="004B7024">
        <w:rPr>
          <w:rFonts w:ascii="Arial" w:hAnsi="Arial" w:cs="Arial"/>
          <w:lang w:val="fr-CA"/>
        </w:rPr>
        <w:t>La base ou les méthodes actuarielles seront élaborées en même temps que la préparation de l’évaluation actuarielle, conformément à l’article 6.1.</w:t>
      </w:r>
    </w:p>
    <w:p w14:paraId="582494DD" w14:textId="77777777" w:rsidR="00CC4BA6" w:rsidRDefault="00CC4BA6" w:rsidP="00487763">
      <w:pPr>
        <w:spacing w:line="264" w:lineRule="auto"/>
      </w:pPr>
    </w:p>
    <w:p w14:paraId="0E6FBA8E" w14:textId="77777777" w:rsidR="00374FB4" w:rsidRDefault="00374FB4" w:rsidP="00487763">
      <w:pPr>
        <w:spacing w:line="264" w:lineRule="auto"/>
        <w:rPr>
          <w:rFonts w:ascii="Arial" w:eastAsia="Arial" w:hAnsi="Arial" w:cs="Arial"/>
        </w:rPr>
      </w:pPr>
      <w:r>
        <w:rPr>
          <w:rFonts w:ascii="Arial" w:eastAsia="Arial" w:hAnsi="Arial" w:cs="Arial"/>
        </w:rPr>
        <w:br w:type="page"/>
      </w:r>
    </w:p>
    <w:p w14:paraId="6F548C03" w14:textId="34EC08A8" w:rsidR="00CC4BA6" w:rsidRPr="009D672C" w:rsidRDefault="001466D1" w:rsidP="00487763">
      <w:pPr>
        <w:pStyle w:val="Heading1"/>
        <w:numPr>
          <w:ilvl w:val="0"/>
          <w:numId w:val="7"/>
        </w:numPr>
        <w:spacing w:before="0" w:line="264" w:lineRule="auto"/>
        <w:ind w:left="540" w:hanging="540"/>
        <w:rPr>
          <w:color w:val="000000"/>
          <w:sz w:val="22"/>
          <w:lang w:val="fr-CA"/>
        </w:rPr>
      </w:pPr>
      <w:bookmarkStart w:id="9" w:name="_Toc68950166"/>
      <w:r w:rsidRPr="009D672C">
        <w:rPr>
          <w:color w:val="000000"/>
          <w:lang w:val="fr-CA"/>
        </w:rPr>
        <w:lastRenderedPageBreak/>
        <w:t>Ajust</w:t>
      </w:r>
      <w:r w:rsidR="009D672C" w:rsidRPr="009D672C">
        <w:rPr>
          <w:color w:val="000000"/>
          <w:lang w:val="fr-CA"/>
        </w:rPr>
        <w:t>e</w:t>
      </w:r>
      <w:r w:rsidRPr="009D672C">
        <w:rPr>
          <w:color w:val="000000"/>
          <w:lang w:val="fr-CA"/>
        </w:rPr>
        <w:t>ment</w:t>
      </w:r>
      <w:r w:rsidR="009D672C" w:rsidRPr="009D672C">
        <w:rPr>
          <w:color w:val="000000"/>
          <w:lang w:val="fr-CA"/>
        </w:rPr>
        <w:t>s des prestation</w:t>
      </w:r>
      <w:r w:rsidRPr="009D672C">
        <w:rPr>
          <w:color w:val="000000"/>
          <w:lang w:val="fr-CA"/>
        </w:rPr>
        <w:t>s</w:t>
      </w:r>
      <w:bookmarkEnd w:id="9"/>
      <w:r w:rsidRPr="009D672C">
        <w:rPr>
          <w:color w:val="000000"/>
          <w:lang w:val="fr-CA"/>
        </w:rPr>
        <w:t xml:space="preserve"> </w:t>
      </w:r>
    </w:p>
    <w:p w14:paraId="198C324C" w14:textId="77777777" w:rsidR="00AD2628" w:rsidRDefault="00AD2628" w:rsidP="00487763">
      <w:pPr>
        <w:spacing w:line="264" w:lineRule="auto"/>
        <w:ind w:left="549"/>
        <w:rPr>
          <w:rFonts w:ascii="Arial" w:eastAsia="Arial" w:hAnsi="Arial" w:cs="Arial"/>
        </w:rPr>
      </w:pPr>
    </w:p>
    <w:p w14:paraId="4ED88ADB" w14:textId="77777777" w:rsidR="00EF00D3" w:rsidRDefault="00EF00D3" w:rsidP="00EF00D3">
      <w:pPr>
        <w:numPr>
          <w:ilvl w:val="1"/>
          <w:numId w:val="7"/>
        </w:numPr>
        <w:spacing w:line="264" w:lineRule="auto"/>
        <w:ind w:left="1260" w:hanging="711"/>
        <w:rPr>
          <w:rFonts w:ascii="Arial" w:eastAsia="Arial" w:hAnsi="Arial" w:cs="Arial"/>
        </w:rPr>
      </w:pPr>
      <w:r w:rsidRPr="00EF00D3">
        <w:rPr>
          <w:rFonts w:ascii="Arial" w:hAnsi="Arial" w:cs="Arial"/>
          <w:lang w:val="fr-CA"/>
        </w:rPr>
        <w:t xml:space="preserve">Les fiduciaires peuvent envisager de modifier de temps à autre les dispositions relatives aux prestations ou à l’admissibilité de la Fiducie. </w:t>
      </w:r>
    </w:p>
    <w:p w14:paraId="0006BC32" w14:textId="77777777" w:rsidR="00EF00D3" w:rsidRDefault="00EF00D3" w:rsidP="00EF00D3">
      <w:pPr>
        <w:spacing w:line="264" w:lineRule="auto"/>
        <w:ind w:left="1260"/>
        <w:rPr>
          <w:rFonts w:ascii="Arial" w:eastAsia="Arial" w:hAnsi="Arial" w:cs="Arial"/>
        </w:rPr>
      </w:pPr>
    </w:p>
    <w:p w14:paraId="5C9211B3" w14:textId="77777777" w:rsidR="00EF00D3" w:rsidRDefault="00EF00D3" w:rsidP="00EF00D3">
      <w:pPr>
        <w:numPr>
          <w:ilvl w:val="1"/>
          <w:numId w:val="7"/>
        </w:numPr>
        <w:spacing w:line="264" w:lineRule="auto"/>
        <w:ind w:left="1260" w:hanging="711"/>
        <w:rPr>
          <w:rFonts w:ascii="Arial" w:eastAsia="Arial" w:hAnsi="Arial" w:cs="Arial"/>
        </w:rPr>
      </w:pPr>
      <w:r w:rsidRPr="00EF00D3">
        <w:rPr>
          <w:rFonts w:ascii="Arial" w:hAnsi="Arial" w:cs="Arial"/>
          <w:lang w:val="fr-CA"/>
        </w:rPr>
        <w:t xml:space="preserve">Les fiduciaires tiennent compte de tous les facteurs pertinents pour déterminer s’il y a lieu d’ajuster les dispositions relatives aux prestations ou à l’admissibilité. </w:t>
      </w:r>
    </w:p>
    <w:p w14:paraId="1435DEF7" w14:textId="77777777" w:rsidR="00EF00D3" w:rsidRDefault="00EF00D3" w:rsidP="00EF00D3">
      <w:pPr>
        <w:pStyle w:val="ListParagraph"/>
        <w:rPr>
          <w:rFonts w:ascii="Arial" w:hAnsi="Arial" w:cs="Arial"/>
          <w:lang w:val="fr-CA"/>
        </w:rPr>
      </w:pPr>
    </w:p>
    <w:p w14:paraId="4AC063B1" w14:textId="1CFB9162" w:rsidR="00EF00D3" w:rsidRPr="00EF00D3" w:rsidRDefault="00EF00D3" w:rsidP="00EF00D3">
      <w:pPr>
        <w:numPr>
          <w:ilvl w:val="1"/>
          <w:numId w:val="7"/>
        </w:numPr>
        <w:spacing w:line="264" w:lineRule="auto"/>
        <w:ind w:left="1260" w:hanging="711"/>
        <w:rPr>
          <w:rFonts w:ascii="Arial" w:eastAsia="Arial" w:hAnsi="Arial" w:cs="Arial"/>
        </w:rPr>
      </w:pPr>
      <w:r w:rsidRPr="00EF00D3">
        <w:rPr>
          <w:rFonts w:ascii="Arial" w:hAnsi="Arial" w:cs="Arial"/>
          <w:lang w:val="fr-CA"/>
        </w:rPr>
        <w:t xml:space="preserve">Si le rapport actuariel prévoit que le solde de la réserve pour fluctuation des demandes de règlement sera inférieur à 8,3 </w:t>
      </w:r>
      <w:r>
        <w:rPr>
          <w:rFonts w:ascii="Arial" w:hAnsi="Arial" w:cs="Arial"/>
          <w:lang w:val="fr-CA"/>
        </w:rPr>
        <w:t>pour cent</w:t>
      </w:r>
      <w:r w:rsidRPr="00EF00D3">
        <w:rPr>
          <w:rFonts w:ascii="Arial" w:hAnsi="Arial" w:cs="Arial"/>
          <w:lang w:val="fr-CA"/>
        </w:rPr>
        <w:t xml:space="preserve"> des demandes</w:t>
      </w:r>
      <w:r>
        <w:rPr>
          <w:rFonts w:ascii="Arial" w:hAnsi="Arial" w:cs="Arial"/>
          <w:lang w:val="fr-CA"/>
        </w:rPr>
        <w:t xml:space="preserve"> de règlement et des dépenses de la Fiducie</w:t>
      </w:r>
      <w:r w:rsidRPr="00EF00D3">
        <w:rPr>
          <w:rFonts w:ascii="Arial" w:hAnsi="Arial" w:cs="Arial"/>
          <w:lang w:val="fr-CA"/>
        </w:rPr>
        <w:t xml:space="preserve"> ou à un niveau plus élevé qui pourrait être exigé en vertu de la convention collective centrale applicable de temps à autre, à la fin d’une période projeté</w:t>
      </w:r>
      <w:r>
        <w:rPr>
          <w:rFonts w:ascii="Arial" w:hAnsi="Arial" w:cs="Arial"/>
          <w:lang w:val="fr-CA"/>
        </w:rPr>
        <w:t>e de trois ans, des modifications</w:t>
      </w:r>
      <w:r w:rsidRPr="00EF00D3">
        <w:rPr>
          <w:rFonts w:ascii="Arial" w:hAnsi="Arial" w:cs="Arial"/>
          <w:lang w:val="fr-CA"/>
        </w:rPr>
        <w:t xml:space="preserve"> administrati</w:t>
      </w:r>
      <w:r>
        <w:rPr>
          <w:rFonts w:ascii="Arial" w:hAnsi="Arial" w:cs="Arial"/>
          <w:lang w:val="fr-CA"/>
        </w:rPr>
        <w:t>ve</w:t>
      </w:r>
      <w:r w:rsidRPr="00EF00D3">
        <w:rPr>
          <w:rFonts w:ascii="Arial" w:hAnsi="Arial" w:cs="Arial"/>
          <w:lang w:val="fr-CA"/>
        </w:rPr>
        <w:t>s ou de conception du régime doivent être apporté</w:t>
      </w:r>
      <w:r>
        <w:rPr>
          <w:rFonts w:ascii="Arial" w:hAnsi="Arial" w:cs="Arial"/>
          <w:lang w:val="fr-CA"/>
        </w:rPr>
        <w:t>e</w:t>
      </w:r>
      <w:r w:rsidRPr="00EF00D3">
        <w:rPr>
          <w:rFonts w:ascii="Arial" w:hAnsi="Arial" w:cs="Arial"/>
          <w:lang w:val="fr-CA"/>
        </w:rPr>
        <w:t xml:space="preserve">s pour combler le manque à gagner prévu dans la réserve pour fluctuation des demandes de règlement. Si la </w:t>
      </w:r>
      <w:r>
        <w:rPr>
          <w:rFonts w:ascii="Arial" w:hAnsi="Arial" w:cs="Arial"/>
          <w:lang w:val="fr-CA"/>
        </w:rPr>
        <w:t>résolution</w:t>
      </w:r>
      <w:r w:rsidRPr="00EF00D3">
        <w:rPr>
          <w:rFonts w:ascii="Arial" w:hAnsi="Arial" w:cs="Arial"/>
          <w:lang w:val="fr-CA"/>
        </w:rPr>
        <w:t xml:space="preserve"> visant à ajuster la conception du régime n’est p</w:t>
      </w:r>
      <w:r>
        <w:rPr>
          <w:rFonts w:ascii="Arial" w:hAnsi="Arial" w:cs="Arial"/>
          <w:lang w:val="fr-CA"/>
        </w:rPr>
        <w:t>as adoptée, la Fiducie</w:t>
      </w:r>
      <w:r w:rsidRPr="00EF00D3">
        <w:rPr>
          <w:rFonts w:ascii="Arial" w:hAnsi="Arial" w:cs="Arial"/>
          <w:lang w:val="fr-CA"/>
        </w:rPr>
        <w:t xml:space="preserve"> augmentera les primes de la part des </w:t>
      </w:r>
      <w:r>
        <w:rPr>
          <w:rFonts w:ascii="Arial" w:hAnsi="Arial" w:cs="Arial"/>
          <w:lang w:val="fr-CA"/>
        </w:rPr>
        <w:t xml:space="preserve">participants </w:t>
      </w:r>
      <w:r w:rsidRPr="00EF00D3">
        <w:rPr>
          <w:rFonts w:ascii="Arial" w:hAnsi="Arial" w:cs="Arial"/>
          <w:lang w:val="fr-CA"/>
        </w:rPr>
        <w:t xml:space="preserve">afin de rétablir le solde au-dessus de 8,3 </w:t>
      </w:r>
      <w:r>
        <w:rPr>
          <w:rFonts w:ascii="Arial" w:hAnsi="Arial" w:cs="Arial"/>
          <w:lang w:val="fr-CA"/>
        </w:rPr>
        <w:t>pour cent</w:t>
      </w:r>
      <w:r w:rsidRPr="00EF00D3">
        <w:rPr>
          <w:rFonts w:ascii="Arial" w:hAnsi="Arial" w:cs="Arial"/>
          <w:lang w:val="fr-CA"/>
        </w:rPr>
        <w:t xml:space="preserve"> des </w:t>
      </w:r>
      <w:r>
        <w:rPr>
          <w:rFonts w:ascii="Arial" w:hAnsi="Arial" w:cs="Arial"/>
          <w:lang w:val="fr-CA"/>
        </w:rPr>
        <w:t>demandes de règlement</w:t>
      </w:r>
      <w:r w:rsidRPr="00EF00D3">
        <w:rPr>
          <w:rFonts w:ascii="Arial" w:hAnsi="Arial" w:cs="Arial"/>
          <w:lang w:val="fr-CA"/>
        </w:rPr>
        <w:t xml:space="preserve"> et des dépenses d</w:t>
      </w:r>
      <w:r>
        <w:rPr>
          <w:rFonts w:ascii="Arial" w:hAnsi="Arial" w:cs="Arial"/>
          <w:lang w:val="fr-CA"/>
        </w:rPr>
        <w:t>e la Fiducie</w:t>
      </w:r>
      <w:r w:rsidRPr="00EF00D3">
        <w:rPr>
          <w:rFonts w:ascii="Arial" w:hAnsi="Arial" w:cs="Arial"/>
          <w:lang w:val="fr-CA"/>
        </w:rPr>
        <w:t xml:space="preserve"> ou tout autre niveau plus élevé qui pourrait être requis en vertu de la convention collective centrale </w:t>
      </w:r>
      <w:r>
        <w:rPr>
          <w:rFonts w:ascii="Arial" w:hAnsi="Arial" w:cs="Arial"/>
          <w:lang w:val="fr-CA"/>
        </w:rPr>
        <w:t xml:space="preserve">applicable de temps à </w:t>
      </w:r>
      <w:proofErr w:type="gramStart"/>
      <w:r>
        <w:rPr>
          <w:rFonts w:ascii="Arial" w:hAnsi="Arial" w:cs="Arial"/>
          <w:lang w:val="fr-CA"/>
        </w:rPr>
        <w:t>autre..</w:t>
      </w:r>
      <w:proofErr w:type="gramEnd"/>
    </w:p>
    <w:p w14:paraId="0F083450" w14:textId="77777777" w:rsidR="00EF00D3" w:rsidRDefault="00EF00D3" w:rsidP="00EF00D3">
      <w:pPr>
        <w:pStyle w:val="ListParagraph"/>
        <w:rPr>
          <w:rFonts w:ascii="Arial" w:eastAsia="Arial" w:hAnsi="Arial" w:cs="Arial"/>
        </w:rPr>
      </w:pPr>
    </w:p>
    <w:p w14:paraId="5F0ACA01" w14:textId="46A26967" w:rsidR="00EF00D3" w:rsidRDefault="00EF00D3" w:rsidP="00EF00D3">
      <w:pPr>
        <w:numPr>
          <w:ilvl w:val="1"/>
          <w:numId w:val="7"/>
        </w:numPr>
        <w:spacing w:line="264" w:lineRule="auto"/>
        <w:ind w:left="1260" w:hanging="711"/>
        <w:rPr>
          <w:rFonts w:ascii="Arial" w:eastAsia="Arial" w:hAnsi="Arial" w:cs="Arial"/>
        </w:rPr>
      </w:pPr>
      <w:r w:rsidRPr="00EF00D3">
        <w:rPr>
          <w:rFonts w:ascii="Arial" w:hAnsi="Arial" w:cs="Arial"/>
          <w:lang w:val="fr-CA"/>
        </w:rPr>
        <w:t xml:space="preserve">Ces changements doivent être effectués et en vigueur avant la fin de l’évaluation actuarielle de trois ans qui prévoit que le solde de la réserve de fluctuation des </w:t>
      </w:r>
      <w:r>
        <w:rPr>
          <w:rFonts w:ascii="Arial" w:hAnsi="Arial" w:cs="Arial"/>
          <w:lang w:val="fr-CA"/>
        </w:rPr>
        <w:t>demandes de règlement</w:t>
      </w:r>
      <w:r w:rsidRPr="00EF00D3">
        <w:rPr>
          <w:rFonts w:ascii="Arial" w:hAnsi="Arial" w:cs="Arial"/>
          <w:lang w:val="fr-CA"/>
        </w:rPr>
        <w:t xml:space="preserve"> est inférieur à 8,3 </w:t>
      </w:r>
      <w:r>
        <w:rPr>
          <w:rFonts w:ascii="Arial" w:hAnsi="Arial" w:cs="Arial"/>
          <w:lang w:val="fr-CA"/>
        </w:rPr>
        <w:t>pour cent</w:t>
      </w:r>
      <w:r w:rsidRPr="00EF00D3">
        <w:rPr>
          <w:rFonts w:ascii="Arial" w:hAnsi="Arial" w:cs="Arial"/>
          <w:lang w:val="fr-CA"/>
        </w:rPr>
        <w:t xml:space="preserve"> des </w:t>
      </w:r>
      <w:r>
        <w:rPr>
          <w:rFonts w:ascii="Arial" w:hAnsi="Arial" w:cs="Arial"/>
          <w:lang w:val="fr-CA"/>
        </w:rPr>
        <w:t xml:space="preserve">demandes de règlement </w:t>
      </w:r>
      <w:r w:rsidRPr="00EF00D3">
        <w:rPr>
          <w:rFonts w:ascii="Arial" w:hAnsi="Arial" w:cs="Arial"/>
          <w:lang w:val="fr-CA"/>
        </w:rPr>
        <w:t>et des dépenses d</w:t>
      </w:r>
      <w:r>
        <w:rPr>
          <w:rFonts w:ascii="Arial" w:hAnsi="Arial" w:cs="Arial"/>
          <w:lang w:val="fr-CA"/>
        </w:rPr>
        <w:t>e la Fiducie</w:t>
      </w:r>
      <w:r w:rsidRPr="00EF00D3">
        <w:rPr>
          <w:rFonts w:ascii="Arial" w:hAnsi="Arial" w:cs="Arial"/>
          <w:lang w:val="fr-CA"/>
        </w:rPr>
        <w:t xml:space="preserve"> ou à un niveau plus élevé qui peut être exigé en vertu de la convention collective centrale applicable de temps à autre</w:t>
      </w:r>
      <w:proofErr w:type="gramStart"/>
      <w:r w:rsidRPr="00EF00D3">
        <w:rPr>
          <w:rFonts w:ascii="Arial" w:hAnsi="Arial" w:cs="Arial"/>
          <w:lang w:val="fr-CA"/>
        </w:rPr>
        <w:t>. .</w:t>
      </w:r>
      <w:proofErr w:type="gramEnd"/>
    </w:p>
    <w:p w14:paraId="2928F969" w14:textId="77777777" w:rsidR="00EF00D3" w:rsidRDefault="00EF00D3" w:rsidP="00EF00D3">
      <w:pPr>
        <w:pStyle w:val="ListParagraph"/>
        <w:rPr>
          <w:rFonts w:ascii="Arial" w:hAnsi="Arial" w:cs="Arial"/>
          <w:lang w:val="fr-CA"/>
        </w:rPr>
      </w:pPr>
    </w:p>
    <w:p w14:paraId="2F9FFB48" w14:textId="25542E28" w:rsidR="00231D97" w:rsidRPr="00EF00D3" w:rsidRDefault="00EF00D3" w:rsidP="00EF00D3">
      <w:pPr>
        <w:numPr>
          <w:ilvl w:val="1"/>
          <w:numId w:val="7"/>
        </w:numPr>
        <w:spacing w:line="264" w:lineRule="auto"/>
        <w:ind w:left="1260" w:hanging="711"/>
        <w:rPr>
          <w:rFonts w:ascii="Arial" w:eastAsia="Arial" w:hAnsi="Arial" w:cs="Arial"/>
        </w:rPr>
      </w:pPr>
      <w:r w:rsidRPr="00EF00D3">
        <w:rPr>
          <w:rFonts w:ascii="Arial" w:hAnsi="Arial" w:cs="Arial"/>
          <w:lang w:val="fr-CA"/>
        </w:rPr>
        <w:t>Au lieu</w:t>
      </w:r>
      <w:r>
        <w:rPr>
          <w:rFonts w:ascii="Arial" w:hAnsi="Arial" w:cs="Arial"/>
          <w:lang w:val="fr-CA"/>
        </w:rPr>
        <w:t>,</w:t>
      </w:r>
      <w:r w:rsidRPr="00EF00D3">
        <w:rPr>
          <w:rFonts w:ascii="Arial" w:hAnsi="Arial" w:cs="Arial"/>
          <w:lang w:val="fr-CA"/>
        </w:rPr>
        <w:t xml:space="preserve"> ou en plus des modifications apportées aux dispositions relatives aux prestations, les fiduciaires peuvent envisager de modifier le niveau des cotisations mensue</w:t>
      </w:r>
      <w:r>
        <w:rPr>
          <w:rFonts w:ascii="Arial" w:hAnsi="Arial" w:cs="Arial"/>
          <w:lang w:val="fr-CA"/>
        </w:rPr>
        <w:t>lles des participants au régime</w:t>
      </w:r>
      <w:r w:rsidR="00231D97" w:rsidRPr="00EF00D3">
        <w:rPr>
          <w:rFonts w:ascii="Arial" w:eastAsia="Arial" w:hAnsi="Arial" w:cs="Arial"/>
        </w:rPr>
        <w:t>.</w:t>
      </w:r>
    </w:p>
    <w:p w14:paraId="2777D47F" w14:textId="77777777" w:rsidR="00CC4BA6" w:rsidRDefault="00CC4BA6" w:rsidP="00487763">
      <w:pPr>
        <w:spacing w:line="264" w:lineRule="auto"/>
        <w:rPr>
          <w:rFonts w:ascii="Arial" w:eastAsia="Arial" w:hAnsi="Arial" w:cs="Arial"/>
        </w:rPr>
      </w:pPr>
    </w:p>
    <w:p w14:paraId="3B1FCFB9" w14:textId="77777777" w:rsidR="00CC4BA6" w:rsidRDefault="001466D1" w:rsidP="00487763">
      <w:pPr>
        <w:spacing w:line="264" w:lineRule="auto"/>
      </w:pPr>
      <w:r>
        <w:br w:type="page"/>
      </w:r>
    </w:p>
    <w:p w14:paraId="4E70BFE7" w14:textId="7A2EFDBE" w:rsidR="00CC4BA6" w:rsidRPr="00082F79" w:rsidRDefault="00543B98" w:rsidP="00487763">
      <w:pPr>
        <w:pStyle w:val="Heading1"/>
        <w:numPr>
          <w:ilvl w:val="0"/>
          <w:numId w:val="7"/>
        </w:numPr>
        <w:spacing w:before="0" w:line="264" w:lineRule="auto"/>
        <w:ind w:left="540" w:hanging="540"/>
        <w:rPr>
          <w:color w:val="000000"/>
          <w:sz w:val="22"/>
          <w:lang w:val="fr-CA"/>
        </w:rPr>
      </w:pPr>
      <w:bookmarkStart w:id="10" w:name="_Toc68950167"/>
      <w:r>
        <w:rPr>
          <w:color w:val="000000"/>
          <w:lang w:val="fr-CA"/>
        </w:rPr>
        <w:lastRenderedPageBreak/>
        <w:t>Objectifs de financement</w:t>
      </w:r>
      <w:bookmarkEnd w:id="10"/>
    </w:p>
    <w:p w14:paraId="567ED6A3" w14:textId="77777777" w:rsidR="00CC4BA6" w:rsidRDefault="00CC4BA6" w:rsidP="00487763">
      <w:pPr>
        <w:spacing w:line="264" w:lineRule="auto"/>
        <w:rPr>
          <w:rFonts w:ascii="Arial" w:eastAsia="Arial" w:hAnsi="Arial" w:cs="Arial"/>
        </w:rPr>
      </w:pPr>
    </w:p>
    <w:p w14:paraId="4748C6CF" w14:textId="77777777" w:rsidR="00543B98" w:rsidRDefault="00543B98" w:rsidP="00543B98">
      <w:pPr>
        <w:numPr>
          <w:ilvl w:val="1"/>
          <w:numId w:val="7"/>
        </w:numPr>
        <w:spacing w:line="264" w:lineRule="auto"/>
        <w:ind w:left="1260" w:hanging="693"/>
        <w:contextualSpacing/>
        <w:rPr>
          <w:rFonts w:ascii="Arial" w:eastAsia="Arial" w:hAnsi="Arial" w:cs="Arial"/>
        </w:rPr>
      </w:pPr>
      <w:r w:rsidRPr="00543B98">
        <w:rPr>
          <w:rFonts w:ascii="Arial" w:hAnsi="Arial" w:cs="Arial"/>
          <w:lang w:val="fr-CA"/>
        </w:rPr>
        <w:t xml:space="preserve">Les fiduciaires envisageront d’établir des objectifs de financement une fois que l’expérience aura été acquise dans le cadre des régimes. Les objectifs de financement peuvent inclure le maintien de la réserve pour fluctuation des demandes de règlement à un pourcentage prescrit (supérieur à 8,3 pour cent des demandes de règlement et des dépenses de la Fiducie ou à un niveau plus élevé pouvant être exigé de temps à autre en vertu de la convention collective centrale applicable) des dépenses du régime. </w:t>
      </w:r>
    </w:p>
    <w:p w14:paraId="6C2A0A9E" w14:textId="77777777" w:rsidR="00543B98" w:rsidRDefault="00543B98" w:rsidP="00543B98">
      <w:pPr>
        <w:spacing w:line="264" w:lineRule="auto"/>
        <w:ind w:left="1260"/>
        <w:contextualSpacing/>
        <w:rPr>
          <w:rFonts w:ascii="Arial" w:eastAsia="Arial" w:hAnsi="Arial" w:cs="Arial"/>
        </w:rPr>
      </w:pPr>
    </w:p>
    <w:p w14:paraId="4EE3558C" w14:textId="23E642F1" w:rsidR="00543B98" w:rsidRPr="00543B98" w:rsidRDefault="00543B98" w:rsidP="00543B98">
      <w:pPr>
        <w:numPr>
          <w:ilvl w:val="1"/>
          <w:numId w:val="7"/>
        </w:numPr>
        <w:spacing w:line="264" w:lineRule="auto"/>
        <w:ind w:left="1260" w:hanging="693"/>
        <w:contextualSpacing/>
        <w:rPr>
          <w:rFonts w:ascii="Arial" w:eastAsia="Arial" w:hAnsi="Arial" w:cs="Arial"/>
        </w:rPr>
      </w:pPr>
      <w:r w:rsidRPr="00543B98">
        <w:rPr>
          <w:rFonts w:ascii="Arial" w:hAnsi="Arial" w:cs="Arial"/>
          <w:lang w:val="fr-CA"/>
        </w:rPr>
        <w:t>Les fiduciaires peuvent établir des réserves supplémentaires pour diverses éventualités et les financer de manière appropriée</w:t>
      </w:r>
      <w:r>
        <w:rPr>
          <w:rFonts w:ascii="Arial" w:hAnsi="Arial" w:cs="Arial"/>
          <w:lang w:val="fr-CA"/>
        </w:rPr>
        <w:t>,</w:t>
      </w:r>
      <w:r w:rsidRPr="00543B98">
        <w:rPr>
          <w:rFonts w:ascii="Arial" w:hAnsi="Arial" w:cs="Arial"/>
          <w:lang w:val="fr-CA"/>
        </w:rPr>
        <w:t xml:space="preserve"> comme ils le jugent bon.</w:t>
      </w:r>
    </w:p>
    <w:p w14:paraId="0AE8B267" w14:textId="77777777" w:rsidR="00CC4BA6" w:rsidRPr="00543B98" w:rsidRDefault="00CC4BA6" w:rsidP="00543B98">
      <w:pPr>
        <w:spacing w:line="264" w:lineRule="auto"/>
        <w:ind w:left="567"/>
        <w:contextualSpacing/>
        <w:rPr>
          <w:rFonts w:ascii="Arial" w:eastAsia="Arial" w:hAnsi="Arial" w:cs="Arial"/>
        </w:rPr>
      </w:pPr>
    </w:p>
    <w:p w14:paraId="1C10E335" w14:textId="77777777" w:rsidR="00CC4BA6" w:rsidRDefault="00CC4BA6" w:rsidP="00487763">
      <w:pPr>
        <w:spacing w:line="264" w:lineRule="auto"/>
        <w:ind w:left="1080"/>
        <w:rPr>
          <w:rFonts w:ascii="Arial" w:eastAsia="Arial" w:hAnsi="Arial" w:cs="Arial"/>
        </w:rPr>
      </w:pPr>
    </w:p>
    <w:p w14:paraId="4EE9205B" w14:textId="77777777" w:rsidR="00CC4BA6" w:rsidRDefault="001466D1" w:rsidP="00487763">
      <w:pPr>
        <w:spacing w:line="264" w:lineRule="auto"/>
      </w:pPr>
      <w:r>
        <w:br w:type="page"/>
      </w:r>
    </w:p>
    <w:p w14:paraId="608B26A3" w14:textId="54AE810E" w:rsidR="00CC4BA6" w:rsidRPr="004231DA" w:rsidRDefault="004231DA" w:rsidP="00487763">
      <w:pPr>
        <w:pStyle w:val="Heading1"/>
        <w:numPr>
          <w:ilvl w:val="0"/>
          <w:numId w:val="7"/>
        </w:numPr>
        <w:spacing w:before="0" w:line="264" w:lineRule="auto"/>
        <w:ind w:left="540" w:hanging="540"/>
        <w:rPr>
          <w:color w:val="000000"/>
          <w:sz w:val="22"/>
          <w:lang w:val="fr-CA"/>
        </w:rPr>
      </w:pPr>
      <w:bookmarkStart w:id="11" w:name="_Toc68950168"/>
      <w:r w:rsidRPr="004231DA">
        <w:rPr>
          <w:color w:val="000000"/>
          <w:lang w:val="fr-CA"/>
        </w:rPr>
        <w:lastRenderedPageBreak/>
        <w:t>Atténuation des risques</w:t>
      </w:r>
      <w:bookmarkEnd w:id="11"/>
    </w:p>
    <w:p w14:paraId="5556246A" w14:textId="77777777" w:rsidR="00B66C59" w:rsidRDefault="00B66C59" w:rsidP="00487763">
      <w:pPr>
        <w:spacing w:line="264" w:lineRule="auto"/>
        <w:ind w:left="603"/>
        <w:contextualSpacing/>
        <w:rPr>
          <w:rFonts w:ascii="Arial" w:eastAsia="Arial" w:hAnsi="Arial" w:cs="Arial"/>
        </w:rPr>
      </w:pPr>
      <w:bookmarkStart w:id="12" w:name="_3rdcrjn" w:colFirst="0" w:colLast="0"/>
      <w:bookmarkEnd w:id="12"/>
    </w:p>
    <w:p w14:paraId="486E64A4" w14:textId="77777777" w:rsidR="00AD1CCB" w:rsidRPr="00AD1CCB" w:rsidRDefault="00AD1CCB" w:rsidP="00AD1CCB">
      <w:pPr>
        <w:numPr>
          <w:ilvl w:val="1"/>
          <w:numId w:val="7"/>
        </w:numPr>
        <w:spacing w:line="264" w:lineRule="auto"/>
        <w:ind w:left="1260" w:hanging="657"/>
        <w:contextualSpacing/>
        <w:rPr>
          <w:rFonts w:ascii="Arial" w:eastAsia="Arial" w:hAnsi="Arial" w:cs="Arial"/>
        </w:rPr>
      </w:pPr>
      <w:r w:rsidRPr="00AD1CCB">
        <w:rPr>
          <w:rFonts w:ascii="Arial" w:hAnsi="Arial" w:cs="Arial"/>
          <w:lang w:val="fr-CA"/>
        </w:rPr>
        <w:t>Les fiduciaires peuvent envisager de mettre en œuvre des techniques appropriées d’atténuation des risques financiers, comme une assurance en excédent de pertes ou d’autres arrangements financiers. Le coût d’une telle assurance ou de tels arrangements financiers sera évalué en fonction de la couverture fournie et de la capacité de la Fiducie Trust à résister aux fluctuations des demandes de règlement</w:t>
      </w:r>
      <w:r>
        <w:rPr>
          <w:rFonts w:ascii="Arial" w:hAnsi="Arial" w:cs="Arial"/>
          <w:lang w:val="fr-CA"/>
        </w:rPr>
        <w:t>.</w:t>
      </w:r>
    </w:p>
    <w:p w14:paraId="7DE8B41F" w14:textId="77777777" w:rsidR="00AD1CCB" w:rsidRPr="00AD1CCB" w:rsidRDefault="00AD1CCB" w:rsidP="00AD1CCB">
      <w:pPr>
        <w:spacing w:line="264" w:lineRule="auto"/>
        <w:ind w:left="1260"/>
        <w:contextualSpacing/>
        <w:rPr>
          <w:rFonts w:ascii="Arial" w:eastAsia="Arial" w:hAnsi="Arial" w:cs="Arial"/>
        </w:rPr>
      </w:pPr>
    </w:p>
    <w:p w14:paraId="28024223" w14:textId="77777777" w:rsidR="00AD1CCB" w:rsidRDefault="00AD1CCB" w:rsidP="00AD1CCB">
      <w:pPr>
        <w:numPr>
          <w:ilvl w:val="1"/>
          <w:numId w:val="7"/>
        </w:numPr>
        <w:spacing w:line="264" w:lineRule="auto"/>
        <w:ind w:left="1260" w:hanging="657"/>
        <w:contextualSpacing/>
        <w:rPr>
          <w:rFonts w:ascii="Arial" w:eastAsia="Arial" w:hAnsi="Arial" w:cs="Arial"/>
        </w:rPr>
      </w:pPr>
      <w:r w:rsidRPr="00AD1CCB">
        <w:rPr>
          <w:rFonts w:ascii="Arial" w:hAnsi="Arial" w:cs="Arial"/>
          <w:lang w:val="fr-CA"/>
        </w:rPr>
        <w:t>Les fiduciaires envisageront de mettre en œuvre des mécanismes appropriés pour fournir efficacement les prestations de la Fiducie. Ces mécanismes peuvent comprendre l’obligation de fournir des médicaments génériques, l’autorisation préalable des médicaments, des techniques de prévention de la fraude et toute autre approche dont la Fiducie pourrait disposer.</w:t>
      </w:r>
    </w:p>
    <w:p w14:paraId="6DD3DC29" w14:textId="77777777" w:rsidR="00AD1CCB" w:rsidRDefault="00AD1CCB" w:rsidP="00AD1CCB">
      <w:pPr>
        <w:pStyle w:val="ListParagraph"/>
        <w:rPr>
          <w:rFonts w:ascii="Arial" w:hAnsi="Arial" w:cs="Arial"/>
          <w:lang w:val="fr-CA"/>
        </w:rPr>
      </w:pPr>
    </w:p>
    <w:p w14:paraId="09C11A9F" w14:textId="592043F6" w:rsidR="005308B0" w:rsidRDefault="00AD1CCB" w:rsidP="005308B0">
      <w:pPr>
        <w:numPr>
          <w:ilvl w:val="1"/>
          <w:numId w:val="7"/>
        </w:numPr>
        <w:spacing w:line="264" w:lineRule="auto"/>
        <w:ind w:left="1260" w:hanging="657"/>
        <w:contextualSpacing/>
        <w:rPr>
          <w:rFonts w:ascii="Arial" w:eastAsia="Arial" w:hAnsi="Arial" w:cs="Arial"/>
        </w:rPr>
      </w:pPr>
      <w:r w:rsidRPr="00AD1CCB">
        <w:rPr>
          <w:rFonts w:ascii="Arial" w:hAnsi="Arial" w:cs="Arial"/>
          <w:lang w:val="fr-CA"/>
        </w:rPr>
        <w:t xml:space="preserve">Les fiduciaires effectueront des analyses actuarielles périodiques afin de déterminer le niveau approprié de la réserve de fluctuation des demandes de règlement et d’autres réserves que la Fiducie peut juger approprié de maintenir. Les autres réserves peuvent être, par exemple, une réserve pour les sinistres subis mais non déclarés, une réserve pour la participation des membres aux coûts, une marge pour imprévus ou une réserve pour le rendement des investissements. </w:t>
      </w:r>
    </w:p>
    <w:p w14:paraId="04F4AB27" w14:textId="77777777" w:rsidR="005308B0" w:rsidRDefault="005308B0" w:rsidP="005308B0">
      <w:pPr>
        <w:pStyle w:val="ListParagraph"/>
        <w:rPr>
          <w:rFonts w:ascii="Arial" w:hAnsi="Arial" w:cs="Arial"/>
          <w:lang w:val="fr-CA"/>
        </w:rPr>
      </w:pPr>
    </w:p>
    <w:p w14:paraId="04A9D7A2" w14:textId="50270B98" w:rsidR="00AD1CCB" w:rsidRPr="005308B0" w:rsidRDefault="00AD1CCB" w:rsidP="005308B0">
      <w:pPr>
        <w:numPr>
          <w:ilvl w:val="1"/>
          <w:numId w:val="7"/>
        </w:numPr>
        <w:spacing w:line="264" w:lineRule="auto"/>
        <w:ind w:left="1260" w:hanging="657"/>
        <w:contextualSpacing/>
        <w:rPr>
          <w:rFonts w:ascii="Arial" w:eastAsia="Arial" w:hAnsi="Arial" w:cs="Arial"/>
        </w:rPr>
      </w:pPr>
      <w:r w:rsidRPr="005308B0">
        <w:rPr>
          <w:rFonts w:ascii="Arial" w:hAnsi="Arial" w:cs="Arial"/>
          <w:lang w:val="fr-CA"/>
        </w:rPr>
        <w:t>Tout excédent qui apparaît dans le cadre du régime sera initialement utilisé pour augmenter la réserve pour fluctuation des demandes de règlement au niveau de financement initial de 15 pour cent ou à un niveau plus élevé qui pourrait être exigé de temps à autre en vertu de la convention c</w:t>
      </w:r>
      <w:r w:rsidR="005308B0" w:rsidRPr="005308B0">
        <w:rPr>
          <w:rFonts w:ascii="Arial" w:hAnsi="Arial" w:cs="Arial"/>
          <w:lang w:val="fr-CA"/>
        </w:rPr>
        <w:t xml:space="preserve">ollective centrale applicable. </w:t>
      </w:r>
      <w:r w:rsidRPr="005308B0">
        <w:rPr>
          <w:rFonts w:ascii="Arial" w:hAnsi="Arial" w:cs="Arial"/>
          <w:lang w:val="fr-CA"/>
        </w:rPr>
        <w:t xml:space="preserve"> Par la suite, le Conseil peut envisager chaque année d’autres affectations de ces fonds, y compris des modifications de la conception du régime ou une réduction des primes.  </w:t>
      </w:r>
    </w:p>
    <w:p w14:paraId="6CEB4EC9" w14:textId="4AF78378" w:rsidR="00CC4BA6" w:rsidRPr="00A9092A" w:rsidRDefault="00CC4BA6" w:rsidP="005308B0">
      <w:pPr>
        <w:spacing w:line="264" w:lineRule="auto"/>
        <w:contextualSpacing/>
        <w:rPr>
          <w:rFonts w:ascii="Arial" w:eastAsia="Arial" w:hAnsi="Arial" w:cs="Arial"/>
        </w:rPr>
      </w:pPr>
    </w:p>
    <w:p w14:paraId="1A3A5647" w14:textId="77777777" w:rsidR="00CC4BA6" w:rsidRPr="00AB2CD8" w:rsidRDefault="001466D1" w:rsidP="00487763">
      <w:pPr>
        <w:spacing w:line="264" w:lineRule="auto"/>
        <w:rPr>
          <w:b/>
          <w:i/>
        </w:rPr>
      </w:pPr>
      <w:r w:rsidRPr="00AB2CD8">
        <w:rPr>
          <w:b/>
          <w:i/>
        </w:rPr>
        <w:br w:type="page"/>
      </w:r>
    </w:p>
    <w:p w14:paraId="4B0CB2F1" w14:textId="093C257A" w:rsidR="00CC4BA6" w:rsidRPr="00AF2D8C" w:rsidRDefault="00AF2D8C" w:rsidP="00487763">
      <w:pPr>
        <w:pStyle w:val="Heading1"/>
        <w:numPr>
          <w:ilvl w:val="0"/>
          <w:numId w:val="7"/>
        </w:numPr>
        <w:spacing w:before="0" w:line="264" w:lineRule="auto"/>
        <w:ind w:left="540" w:hanging="540"/>
        <w:rPr>
          <w:color w:val="000000"/>
          <w:lang w:val="fr-CA"/>
        </w:rPr>
      </w:pPr>
      <w:bookmarkStart w:id="13" w:name="_Toc68950169"/>
      <w:r>
        <w:rPr>
          <w:color w:val="000000"/>
          <w:lang w:val="fr-CA"/>
        </w:rPr>
        <w:lastRenderedPageBreak/>
        <w:t>Excédents et déficits</w:t>
      </w:r>
      <w:bookmarkEnd w:id="13"/>
    </w:p>
    <w:p w14:paraId="41399687" w14:textId="77777777" w:rsidR="00B66C59" w:rsidRPr="00B66C59" w:rsidRDefault="00B66C59" w:rsidP="00487763">
      <w:pPr>
        <w:spacing w:line="264" w:lineRule="auto"/>
      </w:pPr>
    </w:p>
    <w:p w14:paraId="4D1200EE" w14:textId="77777777" w:rsidR="004D6518" w:rsidRDefault="00C14A54" w:rsidP="004D6518">
      <w:pPr>
        <w:numPr>
          <w:ilvl w:val="1"/>
          <w:numId w:val="7"/>
        </w:numPr>
        <w:spacing w:line="264" w:lineRule="auto"/>
        <w:ind w:left="1260" w:hanging="684"/>
        <w:contextualSpacing/>
        <w:rPr>
          <w:rFonts w:ascii="Arial" w:eastAsia="Arial" w:hAnsi="Arial" w:cs="Arial"/>
        </w:rPr>
      </w:pPr>
      <w:r w:rsidRPr="00C14A54">
        <w:rPr>
          <w:rFonts w:ascii="Arial" w:hAnsi="Arial" w:cs="Arial"/>
          <w:lang w:val="fr-CA"/>
        </w:rPr>
        <w:t>L’excédent (le déficit) est défini comme étant l’excédent (le manque à gagner) de la valeur actuarielle de l’actif et des cotisations de la Fiducie par rapport à la valeur prévue des demandes de règlement et des dépenses déterminées sur une période de projection de trois ans.</w:t>
      </w:r>
    </w:p>
    <w:p w14:paraId="7BB4982D" w14:textId="77777777" w:rsidR="004D6518" w:rsidRDefault="004D6518" w:rsidP="004D6518">
      <w:pPr>
        <w:spacing w:line="264" w:lineRule="auto"/>
        <w:ind w:left="1260"/>
        <w:contextualSpacing/>
        <w:rPr>
          <w:rFonts w:ascii="Arial" w:eastAsia="Arial" w:hAnsi="Arial" w:cs="Arial"/>
        </w:rPr>
      </w:pPr>
    </w:p>
    <w:p w14:paraId="79961526" w14:textId="688BC2D2" w:rsidR="00CC4BA6" w:rsidRDefault="00C14A54" w:rsidP="00487763">
      <w:pPr>
        <w:numPr>
          <w:ilvl w:val="1"/>
          <w:numId w:val="7"/>
        </w:numPr>
        <w:spacing w:line="264" w:lineRule="auto"/>
        <w:ind w:left="1260" w:hanging="684"/>
        <w:contextualSpacing/>
        <w:rPr>
          <w:rFonts w:ascii="Arial" w:eastAsia="Arial" w:hAnsi="Arial" w:cs="Arial"/>
        </w:rPr>
      </w:pPr>
      <w:r w:rsidRPr="004D6518">
        <w:rPr>
          <w:rFonts w:ascii="Arial" w:hAnsi="Arial" w:cs="Arial"/>
          <w:lang w:val="fr-CA"/>
        </w:rPr>
        <w:t xml:space="preserve">Les excédents développés dans la </w:t>
      </w:r>
      <w:r w:rsidR="004D6518" w:rsidRPr="004D6518">
        <w:rPr>
          <w:rFonts w:ascii="Arial" w:hAnsi="Arial" w:cs="Arial"/>
          <w:lang w:val="fr-CA"/>
        </w:rPr>
        <w:t>F</w:t>
      </w:r>
      <w:r w:rsidRPr="004D6518">
        <w:rPr>
          <w:rFonts w:ascii="Arial" w:hAnsi="Arial" w:cs="Arial"/>
          <w:lang w:val="fr-CA"/>
        </w:rPr>
        <w:t>iducie peuvent être utilisés pour :</w:t>
      </w:r>
      <w:r w:rsidR="004D6518">
        <w:rPr>
          <w:rFonts w:ascii="Arial" w:eastAsia="Arial" w:hAnsi="Arial" w:cs="Arial"/>
        </w:rPr>
        <w:t xml:space="preserve"> </w:t>
      </w:r>
    </w:p>
    <w:p w14:paraId="64258B50" w14:textId="7A49CAC5" w:rsidR="00D01B88" w:rsidRPr="00D01B88" w:rsidRDefault="00D01B88" w:rsidP="00D01B88">
      <w:pPr>
        <w:pStyle w:val="ListParagraph"/>
        <w:numPr>
          <w:ilvl w:val="0"/>
          <w:numId w:val="15"/>
        </w:numPr>
        <w:spacing w:before="120" w:line="264" w:lineRule="auto"/>
        <w:ind w:left="1627"/>
        <w:contextualSpacing w:val="0"/>
        <w:rPr>
          <w:rFonts w:ascii="Arial" w:hAnsi="Arial" w:cs="Arial"/>
          <w:lang w:val="fr-CA"/>
        </w:rPr>
      </w:pPr>
      <w:r w:rsidRPr="00D01B88">
        <w:rPr>
          <w:rFonts w:ascii="Arial" w:hAnsi="Arial" w:cs="Arial"/>
          <w:lang w:val="fr-CA"/>
        </w:rPr>
        <w:t xml:space="preserve">Financer les </w:t>
      </w:r>
      <w:r>
        <w:rPr>
          <w:rFonts w:ascii="Arial" w:hAnsi="Arial" w:cs="Arial"/>
          <w:lang w:val="fr-CA"/>
        </w:rPr>
        <w:t xml:space="preserve">demandes de règlement </w:t>
      </w:r>
      <w:r w:rsidRPr="00D01B88">
        <w:rPr>
          <w:rFonts w:ascii="Arial" w:hAnsi="Arial" w:cs="Arial"/>
          <w:lang w:val="fr-CA"/>
        </w:rPr>
        <w:t>futures conjointement avec le financement fixe contenu dans la convention collective d</w:t>
      </w:r>
      <w:r>
        <w:rPr>
          <w:rFonts w:ascii="Arial" w:hAnsi="Arial" w:cs="Arial"/>
          <w:lang w:val="fr-CA"/>
        </w:rPr>
        <w:t>’OSSTF/</w:t>
      </w:r>
      <w:r w:rsidRPr="00D01B88">
        <w:rPr>
          <w:rFonts w:ascii="Arial" w:hAnsi="Arial" w:cs="Arial"/>
          <w:lang w:val="fr-CA"/>
        </w:rPr>
        <w:t xml:space="preserve">FEESO  </w:t>
      </w:r>
      <w:r w:rsidRPr="00D01B88">
        <w:rPr>
          <w:rFonts w:ascii="MS Gothic" w:eastAsia="MS Gothic" w:hAnsi="MS Gothic" w:cs="MS Gothic"/>
          <w:lang w:val="fr-CA"/>
        </w:rPr>
        <w:t> </w:t>
      </w:r>
    </w:p>
    <w:p w14:paraId="0F5E74C6" w14:textId="4723894E" w:rsidR="00D01B88" w:rsidRPr="00D01B88" w:rsidRDefault="00D01B88" w:rsidP="00D01B88">
      <w:pPr>
        <w:pStyle w:val="ListParagraph"/>
        <w:numPr>
          <w:ilvl w:val="0"/>
          <w:numId w:val="15"/>
        </w:numPr>
        <w:spacing w:before="120" w:line="264" w:lineRule="auto"/>
        <w:ind w:left="1627"/>
        <w:contextualSpacing w:val="0"/>
        <w:rPr>
          <w:rFonts w:ascii="Arial" w:hAnsi="Arial" w:cs="Arial"/>
          <w:lang w:val="fr-CA"/>
        </w:rPr>
      </w:pPr>
      <w:r w:rsidRPr="00D01B88">
        <w:rPr>
          <w:rFonts w:ascii="Arial" w:hAnsi="Arial" w:cs="Arial"/>
          <w:lang w:val="fr-CA"/>
        </w:rPr>
        <w:t xml:space="preserve">Financer la stabilisation des </w:t>
      </w:r>
      <w:r>
        <w:rPr>
          <w:rFonts w:ascii="Arial" w:hAnsi="Arial" w:cs="Arial"/>
          <w:lang w:val="fr-CA"/>
        </w:rPr>
        <w:t>demandes de règlement</w:t>
      </w:r>
      <w:r w:rsidRPr="00D01B88">
        <w:rPr>
          <w:rFonts w:ascii="Arial" w:hAnsi="Arial" w:cs="Arial"/>
          <w:lang w:val="fr-CA"/>
        </w:rPr>
        <w:t xml:space="preserve"> ou d’autres réserves </w:t>
      </w:r>
      <w:r w:rsidRPr="00D01B88">
        <w:rPr>
          <w:rFonts w:ascii="MS Gothic" w:eastAsia="MS Gothic" w:hAnsi="MS Gothic" w:cs="MS Gothic"/>
          <w:lang w:val="fr-CA"/>
        </w:rPr>
        <w:t> </w:t>
      </w:r>
    </w:p>
    <w:p w14:paraId="35B29B4F" w14:textId="519F3EBC" w:rsidR="00D01B88" w:rsidRPr="00D01B88" w:rsidRDefault="00D01B88" w:rsidP="00D01B88">
      <w:pPr>
        <w:pStyle w:val="ListParagraph"/>
        <w:numPr>
          <w:ilvl w:val="0"/>
          <w:numId w:val="15"/>
        </w:numPr>
        <w:spacing w:before="120" w:line="264" w:lineRule="auto"/>
        <w:ind w:left="1627"/>
        <w:contextualSpacing w:val="0"/>
        <w:rPr>
          <w:rFonts w:ascii="Arial" w:hAnsi="Arial" w:cs="Arial"/>
          <w:lang w:val="fr-CA"/>
        </w:rPr>
      </w:pPr>
      <w:r w:rsidRPr="00D01B88">
        <w:rPr>
          <w:rFonts w:ascii="Arial" w:hAnsi="Arial" w:cs="Arial"/>
          <w:lang w:val="fr-CA"/>
        </w:rPr>
        <w:t>Amél</w:t>
      </w:r>
      <w:r>
        <w:rPr>
          <w:rFonts w:ascii="Arial" w:hAnsi="Arial" w:cs="Arial"/>
          <w:lang w:val="fr-CA"/>
        </w:rPr>
        <w:t>iorer la conception du régime</w:t>
      </w:r>
    </w:p>
    <w:p w14:paraId="1FFCF533" w14:textId="1B86BCD2" w:rsidR="00D01B88" w:rsidRPr="00D01B88" w:rsidRDefault="00D01B88" w:rsidP="00D01B88">
      <w:pPr>
        <w:pStyle w:val="ListParagraph"/>
        <w:numPr>
          <w:ilvl w:val="0"/>
          <w:numId w:val="15"/>
        </w:numPr>
        <w:spacing w:before="120" w:line="264" w:lineRule="auto"/>
        <w:ind w:left="1627"/>
        <w:contextualSpacing w:val="0"/>
        <w:rPr>
          <w:rFonts w:ascii="Arial" w:hAnsi="Arial" w:cs="Arial"/>
          <w:lang w:val="fr-CA"/>
        </w:rPr>
      </w:pPr>
      <w:r w:rsidRPr="00D01B88">
        <w:rPr>
          <w:rFonts w:ascii="Arial" w:hAnsi="Arial" w:cs="Arial"/>
          <w:lang w:val="fr-CA"/>
        </w:rPr>
        <w:t xml:space="preserve">Élargir l’admissibilité comme le permet le document de fiducie </w:t>
      </w:r>
    </w:p>
    <w:p w14:paraId="465774A7" w14:textId="41B22B43" w:rsidR="00D01B88" w:rsidRPr="00D01B88" w:rsidRDefault="00D01B88" w:rsidP="00D01B88">
      <w:pPr>
        <w:pStyle w:val="ListParagraph"/>
        <w:numPr>
          <w:ilvl w:val="0"/>
          <w:numId w:val="15"/>
        </w:numPr>
        <w:spacing w:before="120" w:line="264" w:lineRule="auto"/>
        <w:ind w:left="1627"/>
        <w:contextualSpacing w:val="0"/>
        <w:rPr>
          <w:rFonts w:ascii="Arial" w:hAnsi="Arial" w:cs="Arial"/>
          <w:lang w:val="fr-CA"/>
        </w:rPr>
      </w:pPr>
      <w:r>
        <w:rPr>
          <w:rFonts w:ascii="Arial" w:hAnsi="Arial" w:cs="Arial"/>
          <w:lang w:val="fr-CA"/>
        </w:rPr>
        <w:t>R</w:t>
      </w:r>
      <w:r w:rsidRPr="00D01B88">
        <w:rPr>
          <w:rFonts w:ascii="Arial" w:hAnsi="Arial" w:cs="Arial"/>
          <w:lang w:val="fr-CA"/>
        </w:rPr>
        <w:t xml:space="preserve">éduire la part des primes des </w:t>
      </w:r>
      <w:r>
        <w:rPr>
          <w:rFonts w:ascii="Arial" w:hAnsi="Arial" w:cs="Arial"/>
          <w:lang w:val="fr-CA"/>
        </w:rPr>
        <w:t>participants</w:t>
      </w:r>
      <w:r w:rsidRPr="00D01B88">
        <w:rPr>
          <w:rFonts w:ascii="Arial" w:hAnsi="Arial" w:cs="Arial"/>
          <w:lang w:val="fr-CA"/>
        </w:rPr>
        <w:t xml:space="preserve"> et</w:t>
      </w:r>
    </w:p>
    <w:p w14:paraId="2422FD51" w14:textId="29B4A936" w:rsidR="00D01B88" w:rsidRPr="00D01B88" w:rsidRDefault="00D01B88" w:rsidP="00D01B88">
      <w:pPr>
        <w:pStyle w:val="ListParagraph"/>
        <w:numPr>
          <w:ilvl w:val="0"/>
          <w:numId w:val="15"/>
        </w:numPr>
        <w:spacing w:before="120" w:line="264" w:lineRule="auto"/>
        <w:ind w:left="1627"/>
        <w:contextualSpacing w:val="0"/>
        <w:rPr>
          <w:rFonts w:ascii="Arial" w:hAnsi="Arial" w:cs="Arial"/>
          <w:lang w:val="fr-CA"/>
        </w:rPr>
      </w:pPr>
      <w:r w:rsidRPr="00D01B88">
        <w:rPr>
          <w:rFonts w:ascii="Arial" w:hAnsi="Arial" w:cs="Arial"/>
          <w:lang w:val="fr-CA"/>
        </w:rPr>
        <w:t>Tout</w:t>
      </w:r>
      <w:r>
        <w:rPr>
          <w:rFonts w:ascii="Arial" w:hAnsi="Arial" w:cs="Arial"/>
          <w:lang w:val="fr-CA"/>
        </w:rPr>
        <w:t xml:space="preserve">e </w:t>
      </w:r>
      <w:r w:rsidRPr="00D01B88">
        <w:rPr>
          <w:rFonts w:ascii="Arial" w:hAnsi="Arial" w:cs="Arial"/>
          <w:lang w:val="fr-CA"/>
        </w:rPr>
        <w:t>autre</w:t>
      </w:r>
      <w:r>
        <w:rPr>
          <w:rFonts w:ascii="Arial" w:hAnsi="Arial" w:cs="Arial"/>
          <w:lang w:val="fr-CA"/>
        </w:rPr>
        <w:t xml:space="preserve"> modification</w:t>
      </w:r>
      <w:r w:rsidRPr="00D01B88">
        <w:rPr>
          <w:rFonts w:ascii="Arial" w:hAnsi="Arial" w:cs="Arial"/>
          <w:lang w:val="fr-CA"/>
        </w:rPr>
        <w:t xml:space="preserve"> approuvé</w:t>
      </w:r>
      <w:r>
        <w:rPr>
          <w:rFonts w:ascii="Arial" w:hAnsi="Arial" w:cs="Arial"/>
          <w:lang w:val="fr-CA"/>
        </w:rPr>
        <w:t>e</w:t>
      </w:r>
      <w:r w:rsidRPr="00D01B88">
        <w:rPr>
          <w:rFonts w:ascii="Arial" w:hAnsi="Arial" w:cs="Arial"/>
          <w:lang w:val="fr-CA"/>
        </w:rPr>
        <w:t xml:space="preserve"> par les fiduciaires </w:t>
      </w:r>
    </w:p>
    <w:p w14:paraId="7CE9CBD7" w14:textId="77777777" w:rsidR="00CC4BA6" w:rsidRDefault="00CC4BA6" w:rsidP="00487763">
      <w:pPr>
        <w:tabs>
          <w:tab w:val="left" w:pos="940"/>
          <w:tab w:val="left" w:pos="1440"/>
        </w:tabs>
        <w:spacing w:line="264" w:lineRule="auto"/>
        <w:ind w:left="1440" w:hanging="504"/>
        <w:rPr>
          <w:rFonts w:ascii="Arial" w:eastAsia="Arial" w:hAnsi="Arial" w:cs="Arial"/>
        </w:rPr>
      </w:pPr>
    </w:p>
    <w:p w14:paraId="0EBEEC91" w14:textId="7AB4F0B8" w:rsidR="00057025" w:rsidRPr="00057025" w:rsidRDefault="00057025" w:rsidP="00057025">
      <w:pPr>
        <w:numPr>
          <w:ilvl w:val="1"/>
          <w:numId w:val="7"/>
        </w:numPr>
        <w:spacing w:line="264" w:lineRule="auto"/>
        <w:ind w:left="1260" w:hanging="684"/>
        <w:contextualSpacing/>
        <w:rPr>
          <w:rFonts w:ascii="Arial" w:eastAsia="Arial" w:hAnsi="Arial" w:cs="Arial"/>
        </w:rPr>
      </w:pPr>
      <w:r w:rsidRPr="00057025">
        <w:rPr>
          <w:rFonts w:ascii="Arial" w:hAnsi="Arial" w:cs="Arial"/>
          <w:lang w:val="fr-CA"/>
        </w:rPr>
        <w:t>Les déficits de financement prévus à la fin d’une période de projection de trois ans seront comblés au plus tard lors du dernier renouvellement du régime (au 1</w:t>
      </w:r>
      <w:proofErr w:type="gramStart"/>
      <w:r w:rsidRPr="00057025">
        <w:rPr>
          <w:rFonts w:ascii="Arial" w:hAnsi="Arial" w:cs="Arial"/>
          <w:vertAlign w:val="superscript"/>
          <w:lang w:val="fr-CA"/>
        </w:rPr>
        <w:t>er</w:t>
      </w:r>
      <w:r>
        <w:rPr>
          <w:rFonts w:ascii="Arial" w:hAnsi="Arial" w:cs="Arial"/>
          <w:vertAlign w:val="superscript"/>
          <w:lang w:val="fr-CA"/>
        </w:rPr>
        <w:t>  </w:t>
      </w:r>
      <w:r w:rsidRPr="00057025">
        <w:rPr>
          <w:rFonts w:ascii="Arial" w:hAnsi="Arial" w:cs="Arial"/>
          <w:lang w:val="fr-CA"/>
        </w:rPr>
        <w:t>septembre</w:t>
      </w:r>
      <w:proofErr w:type="gramEnd"/>
      <w:r w:rsidRPr="00057025">
        <w:rPr>
          <w:rFonts w:ascii="Arial" w:hAnsi="Arial" w:cs="Arial"/>
          <w:lang w:val="fr-CA"/>
        </w:rPr>
        <w:t xml:space="preserve">) avant la fin de la période de projection de trois ans en utilisant une ou plusieurs des méthodes suivantes, selon ce que déterminent les fiduciaires : </w:t>
      </w:r>
    </w:p>
    <w:p w14:paraId="72EBCBE6" w14:textId="45DC1540" w:rsidR="00476962" w:rsidRPr="00476962" w:rsidRDefault="00476962" w:rsidP="00850905">
      <w:pPr>
        <w:pStyle w:val="ListParagraph"/>
        <w:numPr>
          <w:ilvl w:val="0"/>
          <w:numId w:val="17"/>
        </w:numPr>
        <w:spacing w:before="120" w:line="264" w:lineRule="auto"/>
        <w:ind w:left="1627"/>
        <w:contextualSpacing w:val="0"/>
        <w:rPr>
          <w:rFonts w:ascii="Arial" w:hAnsi="Arial" w:cs="Arial"/>
          <w:lang w:val="fr-CA"/>
        </w:rPr>
      </w:pPr>
      <w:r w:rsidRPr="00476962">
        <w:rPr>
          <w:rFonts w:ascii="Arial" w:hAnsi="Arial" w:cs="Arial"/>
          <w:lang w:val="fr-CA"/>
        </w:rPr>
        <w:t xml:space="preserve">Utiliser les fonds de stabilisation des </w:t>
      </w:r>
      <w:r>
        <w:rPr>
          <w:rFonts w:ascii="Arial" w:hAnsi="Arial" w:cs="Arial"/>
          <w:lang w:val="fr-CA"/>
        </w:rPr>
        <w:t xml:space="preserve">demandes de règlement </w:t>
      </w:r>
      <w:r w:rsidRPr="00476962">
        <w:rPr>
          <w:rFonts w:ascii="Arial" w:hAnsi="Arial" w:cs="Arial"/>
          <w:lang w:val="fr-CA"/>
        </w:rPr>
        <w:t>existant</w:t>
      </w:r>
      <w:r w:rsidRPr="00476962">
        <w:rPr>
          <w:rFonts w:ascii="MS Gothic" w:eastAsia="MS Gothic" w:hAnsi="MS Gothic" w:cs="MS Gothic"/>
          <w:lang w:val="fr-CA"/>
        </w:rPr>
        <w:t> </w:t>
      </w:r>
    </w:p>
    <w:p w14:paraId="5AFA27C5" w14:textId="13CEEA3B" w:rsidR="00476962" w:rsidRPr="00476962" w:rsidRDefault="00476962" w:rsidP="00850905">
      <w:pPr>
        <w:pStyle w:val="ListParagraph"/>
        <w:numPr>
          <w:ilvl w:val="0"/>
          <w:numId w:val="17"/>
        </w:numPr>
        <w:spacing w:before="120" w:line="264" w:lineRule="auto"/>
        <w:ind w:left="1627"/>
        <w:contextualSpacing w:val="0"/>
        <w:rPr>
          <w:rFonts w:ascii="Arial" w:hAnsi="Arial" w:cs="Arial"/>
          <w:lang w:val="fr-CA"/>
        </w:rPr>
      </w:pPr>
      <w:r w:rsidRPr="00476962">
        <w:rPr>
          <w:rFonts w:ascii="Arial" w:hAnsi="Arial" w:cs="Arial"/>
          <w:lang w:val="fr-CA"/>
        </w:rPr>
        <w:t xml:space="preserve">Augmenter la part des primes des </w:t>
      </w:r>
      <w:r>
        <w:rPr>
          <w:rFonts w:ascii="Arial" w:hAnsi="Arial" w:cs="Arial"/>
          <w:lang w:val="fr-CA"/>
        </w:rPr>
        <w:t>participants</w:t>
      </w:r>
      <w:r w:rsidRPr="00476962">
        <w:rPr>
          <w:rFonts w:ascii="Arial" w:hAnsi="Arial" w:cs="Arial"/>
          <w:lang w:val="fr-CA"/>
        </w:rPr>
        <w:t xml:space="preserve"> </w:t>
      </w:r>
      <w:r w:rsidRPr="00476962">
        <w:rPr>
          <w:rFonts w:ascii="MS Gothic" w:eastAsia="MS Gothic" w:hAnsi="MS Gothic" w:cs="MS Gothic"/>
          <w:lang w:val="fr-CA"/>
        </w:rPr>
        <w:t> </w:t>
      </w:r>
    </w:p>
    <w:p w14:paraId="49D49C17" w14:textId="7F33A231" w:rsidR="00476962" w:rsidRPr="00476962" w:rsidRDefault="00476962" w:rsidP="00850905">
      <w:pPr>
        <w:pStyle w:val="ListParagraph"/>
        <w:numPr>
          <w:ilvl w:val="0"/>
          <w:numId w:val="17"/>
        </w:numPr>
        <w:spacing w:before="120" w:line="264" w:lineRule="auto"/>
        <w:ind w:left="1627"/>
        <w:contextualSpacing w:val="0"/>
        <w:rPr>
          <w:rFonts w:ascii="Arial" w:hAnsi="Arial" w:cs="Arial"/>
          <w:lang w:val="fr-CA"/>
        </w:rPr>
      </w:pPr>
      <w:r w:rsidRPr="00476962">
        <w:rPr>
          <w:rFonts w:ascii="Arial" w:hAnsi="Arial" w:cs="Arial"/>
          <w:lang w:val="fr-CA"/>
        </w:rPr>
        <w:t>Modifie</w:t>
      </w:r>
      <w:r>
        <w:rPr>
          <w:rFonts w:ascii="Arial" w:hAnsi="Arial" w:cs="Arial"/>
          <w:lang w:val="fr-CA"/>
        </w:rPr>
        <w:t>r la conception du régime</w:t>
      </w:r>
    </w:p>
    <w:p w14:paraId="7C74EAEE" w14:textId="18F2127A" w:rsidR="00476962" w:rsidRPr="00476962" w:rsidRDefault="00476962" w:rsidP="00850905">
      <w:pPr>
        <w:pStyle w:val="ListParagraph"/>
        <w:numPr>
          <w:ilvl w:val="0"/>
          <w:numId w:val="17"/>
        </w:numPr>
        <w:spacing w:before="120" w:line="264" w:lineRule="auto"/>
        <w:ind w:left="1627"/>
        <w:contextualSpacing w:val="0"/>
        <w:rPr>
          <w:rFonts w:ascii="Arial" w:hAnsi="Arial" w:cs="Arial"/>
          <w:lang w:val="fr-CA"/>
        </w:rPr>
      </w:pPr>
      <w:r w:rsidRPr="00476962">
        <w:rPr>
          <w:rFonts w:ascii="Arial" w:hAnsi="Arial" w:cs="Arial"/>
          <w:lang w:val="fr-CA"/>
        </w:rPr>
        <w:t>Mettre en œuvre des outils de contrôle des coûts</w:t>
      </w:r>
    </w:p>
    <w:p w14:paraId="2C659EBA" w14:textId="27AE1CDE" w:rsidR="00476962" w:rsidRPr="00476962" w:rsidRDefault="00476962" w:rsidP="00850905">
      <w:pPr>
        <w:pStyle w:val="ListParagraph"/>
        <w:numPr>
          <w:ilvl w:val="0"/>
          <w:numId w:val="17"/>
        </w:numPr>
        <w:spacing w:before="120" w:line="264" w:lineRule="auto"/>
        <w:ind w:left="1627"/>
        <w:contextualSpacing w:val="0"/>
        <w:rPr>
          <w:rFonts w:ascii="Arial" w:hAnsi="Arial" w:cs="Arial"/>
          <w:lang w:val="fr-CA"/>
        </w:rPr>
      </w:pPr>
      <w:r w:rsidRPr="00476962">
        <w:rPr>
          <w:rFonts w:ascii="Arial" w:hAnsi="Arial" w:cs="Arial"/>
          <w:lang w:val="fr-CA"/>
        </w:rPr>
        <w:t>Adopter des mesures visant à réduire les coûts d’administration ou de prestation</w:t>
      </w:r>
    </w:p>
    <w:p w14:paraId="51871F8F" w14:textId="4E33E2BA" w:rsidR="00476962" w:rsidRPr="00476962" w:rsidRDefault="00476962" w:rsidP="00850905">
      <w:pPr>
        <w:pStyle w:val="ListParagraph"/>
        <w:numPr>
          <w:ilvl w:val="0"/>
          <w:numId w:val="17"/>
        </w:numPr>
        <w:spacing w:before="120" w:line="264" w:lineRule="auto"/>
        <w:ind w:left="1627"/>
        <w:contextualSpacing w:val="0"/>
        <w:rPr>
          <w:rFonts w:ascii="Arial" w:hAnsi="Arial" w:cs="Arial"/>
          <w:lang w:val="fr-CA"/>
        </w:rPr>
      </w:pPr>
      <w:r w:rsidRPr="00476962">
        <w:rPr>
          <w:rFonts w:ascii="Arial" w:hAnsi="Arial" w:cs="Arial"/>
          <w:lang w:val="fr-CA"/>
        </w:rPr>
        <w:t>Tout</w:t>
      </w:r>
      <w:r w:rsidR="00850905">
        <w:rPr>
          <w:rFonts w:ascii="Arial" w:hAnsi="Arial" w:cs="Arial"/>
          <w:lang w:val="fr-CA"/>
        </w:rPr>
        <w:t>e</w:t>
      </w:r>
      <w:r w:rsidRPr="00476962">
        <w:rPr>
          <w:rFonts w:ascii="Arial" w:hAnsi="Arial" w:cs="Arial"/>
          <w:lang w:val="fr-CA"/>
        </w:rPr>
        <w:t xml:space="preserve"> autre </w:t>
      </w:r>
      <w:r w:rsidR="00850905">
        <w:rPr>
          <w:rFonts w:ascii="Arial" w:hAnsi="Arial" w:cs="Arial"/>
          <w:lang w:val="fr-CA"/>
        </w:rPr>
        <w:t>modification</w:t>
      </w:r>
      <w:r w:rsidRPr="00476962">
        <w:rPr>
          <w:rFonts w:ascii="Arial" w:hAnsi="Arial" w:cs="Arial"/>
          <w:lang w:val="fr-CA"/>
        </w:rPr>
        <w:t xml:space="preserve"> approuvé</w:t>
      </w:r>
      <w:r w:rsidR="00850905">
        <w:rPr>
          <w:rFonts w:ascii="Arial" w:hAnsi="Arial" w:cs="Arial"/>
          <w:lang w:val="fr-CA"/>
        </w:rPr>
        <w:t>e</w:t>
      </w:r>
      <w:r w:rsidRPr="00476962">
        <w:rPr>
          <w:rFonts w:ascii="Arial" w:hAnsi="Arial" w:cs="Arial"/>
          <w:lang w:val="fr-CA"/>
        </w:rPr>
        <w:t xml:space="preserve"> par les fiduciaires </w:t>
      </w:r>
    </w:p>
    <w:p w14:paraId="6CEB17F7" w14:textId="77777777" w:rsidR="00AB2CD8" w:rsidRPr="00AB2CD8" w:rsidRDefault="00AB2CD8" w:rsidP="00AB2CD8">
      <w:pPr>
        <w:pStyle w:val="ListParagraph"/>
        <w:tabs>
          <w:tab w:val="left" w:pos="940"/>
          <w:tab w:val="left" w:pos="1440"/>
        </w:tabs>
        <w:spacing w:before="120" w:line="264" w:lineRule="auto"/>
        <w:ind w:left="1627"/>
        <w:contextualSpacing w:val="0"/>
        <w:rPr>
          <w:rFonts w:ascii="Arial" w:eastAsia="Arial" w:hAnsi="Arial" w:cs="Arial"/>
          <w:strike/>
        </w:rPr>
      </w:pPr>
    </w:p>
    <w:p w14:paraId="4B28AC1E" w14:textId="77777777" w:rsidR="00CC4BA6" w:rsidRPr="00844AF2" w:rsidRDefault="001466D1" w:rsidP="00487763">
      <w:pPr>
        <w:spacing w:line="264" w:lineRule="auto"/>
        <w:rPr>
          <w:strike/>
        </w:rPr>
      </w:pPr>
      <w:r w:rsidRPr="00844AF2">
        <w:rPr>
          <w:strike/>
        </w:rPr>
        <w:br w:type="page"/>
      </w:r>
    </w:p>
    <w:p w14:paraId="725FE1B3" w14:textId="77777777" w:rsidR="00CC4BA6" w:rsidRPr="001709CA" w:rsidRDefault="001466D1" w:rsidP="004B3B5E">
      <w:pPr>
        <w:pStyle w:val="Heading1"/>
        <w:numPr>
          <w:ilvl w:val="0"/>
          <w:numId w:val="7"/>
        </w:numPr>
        <w:spacing w:before="0" w:line="264" w:lineRule="auto"/>
        <w:ind w:left="540" w:hanging="540"/>
        <w:rPr>
          <w:color w:val="000000"/>
          <w:sz w:val="22"/>
        </w:rPr>
      </w:pPr>
      <w:bookmarkStart w:id="14" w:name="_Toc68950170"/>
      <w:r>
        <w:rPr>
          <w:color w:val="000000"/>
        </w:rPr>
        <w:lastRenderedPageBreak/>
        <w:t>Communications</w:t>
      </w:r>
      <w:bookmarkEnd w:id="14"/>
    </w:p>
    <w:p w14:paraId="636271F5" w14:textId="77777777" w:rsidR="001709CA" w:rsidRDefault="001709CA" w:rsidP="004B3B5E">
      <w:pPr>
        <w:spacing w:line="264" w:lineRule="auto"/>
        <w:ind w:left="540"/>
        <w:contextualSpacing/>
        <w:rPr>
          <w:rFonts w:ascii="Arial" w:eastAsia="Arial" w:hAnsi="Arial" w:cs="Arial"/>
        </w:rPr>
      </w:pPr>
    </w:p>
    <w:p w14:paraId="1F8B3091" w14:textId="77777777" w:rsidR="007F4D37" w:rsidRDefault="001F4CE8" w:rsidP="007F4D37">
      <w:pPr>
        <w:numPr>
          <w:ilvl w:val="1"/>
          <w:numId w:val="7"/>
        </w:numPr>
        <w:spacing w:line="264" w:lineRule="auto"/>
        <w:ind w:left="1260" w:hanging="720"/>
        <w:contextualSpacing/>
        <w:rPr>
          <w:rFonts w:ascii="Arial" w:eastAsia="Arial" w:hAnsi="Arial" w:cs="Arial"/>
        </w:rPr>
      </w:pPr>
      <w:r w:rsidRPr="007F4D37">
        <w:rPr>
          <w:rFonts w:ascii="Arial" w:hAnsi="Arial" w:cs="Arial"/>
          <w:lang w:val="fr-CA"/>
        </w:rPr>
        <w:t>Les fiduciaires fourniront des rapports annuels aux bénéficiaires de la fiducie et aux parties de l’</w:t>
      </w:r>
      <w:r w:rsidR="007F4D37" w:rsidRPr="007F4D37">
        <w:rPr>
          <w:rFonts w:ascii="Arial" w:hAnsi="Arial" w:cs="Arial"/>
          <w:lang w:val="fr-CA"/>
        </w:rPr>
        <w:t>entente</w:t>
      </w:r>
      <w:r w:rsidRPr="007F4D37">
        <w:rPr>
          <w:rFonts w:ascii="Arial" w:hAnsi="Arial" w:cs="Arial"/>
          <w:lang w:val="fr-CA"/>
        </w:rPr>
        <w:t xml:space="preserve"> de </w:t>
      </w:r>
      <w:r w:rsidR="00A927C8" w:rsidRPr="007F4D37">
        <w:rPr>
          <w:rFonts w:ascii="Arial" w:hAnsi="Arial" w:cs="Arial"/>
          <w:lang w:val="fr-CA"/>
        </w:rPr>
        <w:t>F</w:t>
      </w:r>
      <w:r w:rsidRPr="007F4D37">
        <w:rPr>
          <w:rFonts w:ascii="Arial" w:hAnsi="Arial" w:cs="Arial"/>
          <w:lang w:val="fr-CA"/>
        </w:rPr>
        <w:t>iducie (</w:t>
      </w:r>
      <w:r w:rsidR="00A927C8" w:rsidRPr="007F4D37">
        <w:rPr>
          <w:rFonts w:ascii="Arial" w:hAnsi="Arial" w:cs="Arial"/>
          <w:lang w:val="fr-CA"/>
        </w:rPr>
        <w:t>OSSTF/</w:t>
      </w:r>
      <w:r w:rsidRPr="007F4D37">
        <w:rPr>
          <w:rFonts w:ascii="Arial" w:hAnsi="Arial" w:cs="Arial"/>
          <w:lang w:val="fr-CA"/>
        </w:rPr>
        <w:t xml:space="preserve">FEESO, OPSBA, Couronne) sur l’expérience de la </w:t>
      </w:r>
      <w:r w:rsidR="00A927C8" w:rsidRPr="007F4D37">
        <w:rPr>
          <w:rFonts w:ascii="Arial" w:hAnsi="Arial" w:cs="Arial"/>
          <w:lang w:val="fr-CA"/>
        </w:rPr>
        <w:t>F</w:t>
      </w:r>
      <w:r w:rsidRPr="007F4D37">
        <w:rPr>
          <w:rFonts w:ascii="Arial" w:hAnsi="Arial" w:cs="Arial"/>
          <w:lang w:val="fr-CA"/>
        </w:rPr>
        <w:t>iducie.</w:t>
      </w:r>
    </w:p>
    <w:p w14:paraId="6B2B1E1F" w14:textId="77777777" w:rsidR="007F4D37" w:rsidRDefault="007F4D37" w:rsidP="007F4D37">
      <w:pPr>
        <w:spacing w:line="264" w:lineRule="auto"/>
        <w:ind w:left="1260"/>
        <w:contextualSpacing/>
        <w:rPr>
          <w:rFonts w:ascii="Arial" w:eastAsia="Arial" w:hAnsi="Arial" w:cs="Arial"/>
        </w:rPr>
      </w:pPr>
    </w:p>
    <w:p w14:paraId="4E5C4E7A" w14:textId="77777777" w:rsidR="007F4D37" w:rsidRDefault="001F4CE8" w:rsidP="007F4D37">
      <w:pPr>
        <w:numPr>
          <w:ilvl w:val="1"/>
          <w:numId w:val="7"/>
        </w:numPr>
        <w:spacing w:line="264" w:lineRule="auto"/>
        <w:ind w:left="1260" w:hanging="720"/>
        <w:contextualSpacing/>
        <w:rPr>
          <w:rFonts w:ascii="Arial" w:eastAsia="Arial" w:hAnsi="Arial" w:cs="Arial"/>
        </w:rPr>
      </w:pPr>
      <w:r w:rsidRPr="007F4D37">
        <w:rPr>
          <w:rFonts w:ascii="Arial" w:hAnsi="Arial" w:cs="Arial"/>
          <w:lang w:val="fr-CA"/>
        </w:rPr>
        <w:t xml:space="preserve">Les fiduciaires donneront accès à la politique de financement aux bénéficiaires de la </w:t>
      </w:r>
      <w:r w:rsidR="007F4D37" w:rsidRPr="007F4D37">
        <w:rPr>
          <w:rFonts w:ascii="Arial" w:hAnsi="Arial" w:cs="Arial"/>
          <w:lang w:val="fr-CA"/>
        </w:rPr>
        <w:t>F</w:t>
      </w:r>
      <w:r w:rsidRPr="007F4D37">
        <w:rPr>
          <w:rFonts w:ascii="Arial" w:hAnsi="Arial" w:cs="Arial"/>
          <w:lang w:val="fr-CA"/>
        </w:rPr>
        <w:t xml:space="preserve">iducie et aux parties </w:t>
      </w:r>
      <w:r w:rsidR="007F4D37" w:rsidRPr="007F4D37">
        <w:rPr>
          <w:rFonts w:ascii="Arial" w:hAnsi="Arial" w:cs="Arial"/>
          <w:lang w:val="fr-CA"/>
        </w:rPr>
        <w:t xml:space="preserve">à l’entente </w:t>
      </w:r>
      <w:r w:rsidRPr="007F4D37">
        <w:rPr>
          <w:rFonts w:ascii="Arial" w:hAnsi="Arial" w:cs="Arial"/>
          <w:lang w:val="fr-CA"/>
        </w:rPr>
        <w:t xml:space="preserve">de </w:t>
      </w:r>
      <w:r w:rsidR="007F4D37" w:rsidRPr="007F4D37">
        <w:rPr>
          <w:rFonts w:ascii="Arial" w:hAnsi="Arial" w:cs="Arial"/>
          <w:lang w:val="fr-CA"/>
        </w:rPr>
        <w:t>F</w:t>
      </w:r>
      <w:r w:rsidRPr="007F4D37">
        <w:rPr>
          <w:rFonts w:ascii="Arial" w:hAnsi="Arial" w:cs="Arial"/>
          <w:lang w:val="fr-CA"/>
        </w:rPr>
        <w:t>iducie (</w:t>
      </w:r>
      <w:r w:rsidR="007F4D37" w:rsidRPr="007F4D37">
        <w:rPr>
          <w:rFonts w:ascii="Arial" w:hAnsi="Arial" w:cs="Arial"/>
          <w:lang w:val="fr-CA"/>
        </w:rPr>
        <w:t>OSSTF/</w:t>
      </w:r>
      <w:r w:rsidRPr="007F4D37">
        <w:rPr>
          <w:rFonts w:ascii="Arial" w:hAnsi="Arial" w:cs="Arial"/>
          <w:lang w:val="fr-CA"/>
        </w:rPr>
        <w:t>FEESO, OPSBA, Couronne).</w:t>
      </w:r>
    </w:p>
    <w:p w14:paraId="727D8E90" w14:textId="77777777" w:rsidR="007F4D37" w:rsidRDefault="007F4D37" w:rsidP="007F4D37">
      <w:pPr>
        <w:pStyle w:val="ListParagraph"/>
        <w:rPr>
          <w:rFonts w:ascii="Arial" w:hAnsi="Arial" w:cs="Arial"/>
          <w:lang w:val="fr-CA"/>
        </w:rPr>
      </w:pPr>
    </w:p>
    <w:p w14:paraId="262C3AFF" w14:textId="5CC5F4A7" w:rsidR="00CC4BA6" w:rsidRPr="007F4D37" w:rsidRDefault="001F4CE8" w:rsidP="004B3B5E">
      <w:pPr>
        <w:numPr>
          <w:ilvl w:val="1"/>
          <w:numId w:val="7"/>
        </w:numPr>
        <w:spacing w:line="264" w:lineRule="auto"/>
        <w:ind w:left="1260" w:hanging="720"/>
        <w:contextualSpacing/>
        <w:rPr>
          <w:rFonts w:ascii="Arial" w:eastAsia="Arial" w:hAnsi="Arial" w:cs="Arial"/>
          <w:color w:val="FF0000"/>
        </w:rPr>
      </w:pPr>
      <w:r w:rsidRPr="007F4D37">
        <w:rPr>
          <w:rFonts w:ascii="Arial" w:hAnsi="Arial" w:cs="Arial"/>
          <w:lang w:val="fr-CA"/>
        </w:rPr>
        <w:t>Les fiduciaires fourniront chaque année un rapport financier vérifié aux parties à l’</w:t>
      </w:r>
      <w:r w:rsidR="007F4D37" w:rsidRPr="007F4D37">
        <w:rPr>
          <w:rFonts w:ascii="Arial" w:hAnsi="Arial" w:cs="Arial"/>
          <w:lang w:val="fr-CA"/>
        </w:rPr>
        <w:t>entente</w:t>
      </w:r>
      <w:r w:rsidRPr="007F4D37">
        <w:rPr>
          <w:rFonts w:ascii="Arial" w:hAnsi="Arial" w:cs="Arial"/>
          <w:lang w:val="fr-CA"/>
        </w:rPr>
        <w:t xml:space="preserve"> de </w:t>
      </w:r>
      <w:r w:rsidR="007F4D37" w:rsidRPr="007F4D37">
        <w:rPr>
          <w:rFonts w:ascii="Arial" w:hAnsi="Arial" w:cs="Arial"/>
          <w:lang w:val="fr-CA"/>
        </w:rPr>
        <w:t>F</w:t>
      </w:r>
      <w:r w:rsidRPr="007F4D37">
        <w:rPr>
          <w:rFonts w:ascii="Arial" w:hAnsi="Arial" w:cs="Arial"/>
          <w:lang w:val="fr-CA"/>
        </w:rPr>
        <w:t>iducie (</w:t>
      </w:r>
      <w:r w:rsidR="007F4D37" w:rsidRPr="007F4D37">
        <w:rPr>
          <w:rFonts w:ascii="Arial" w:hAnsi="Arial" w:cs="Arial"/>
          <w:lang w:val="fr-CA"/>
        </w:rPr>
        <w:t>OSSTF/</w:t>
      </w:r>
      <w:r w:rsidRPr="007F4D37">
        <w:rPr>
          <w:rFonts w:ascii="Arial" w:hAnsi="Arial" w:cs="Arial"/>
          <w:lang w:val="fr-CA"/>
        </w:rPr>
        <w:t xml:space="preserve">FEESO, OPSBA, Couronne). </w:t>
      </w:r>
    </w:p>
    <w:p w14:paraId="6FE82687" w14:textId="77777777" w:rsidR="00862457" w:rsidRDefault="00862457" w:rsidP="00862457">
      <w:pPr>
        <w:spacing w:line="264" w:lineRule="auto"/>
      </w:pPr>
      <w:bookmarkStart w:id="15" w:name="_35nkun2" w:colFirst="0" w:colLast="0"/>
      <w:bookmarkEnd w:id="15"/>
    </w:p>
    <w:p w14:paraId="73F11283" w14:textId="340AA8B0" w:rsidR="00CC4BA6" w:rsidRPr="00F36B66" w:rsidRDefault="00F36B66" w:rsidP="00862457">
      <w:pPr>
        <w:pStyle w:val="ListParagraph"/>
        <w:numPr>
          <w:ilvl w:val="0"/>
          <w:numId w:val="7"/>
        </w:numPr>
        <w:spacing w:line="264" w:lineRule="auto"/>
        <w:ind w:hanging="720"/>
        <w:rPr>
          <w:rFonts w:ascii="Arial" w:hAnsi="Arial" w:cs="Arial"/>
          <w:b/>
          <w:sz w:val="32"/>
          <w:szCs w:val="32"/>
          <w:lang w:val="fr-CA"/>
        </w:rPr>
      </w:pPr>
      <w:r w:rsidRPr="00F36B66">
        <w:rPr>
          <w:rFonts w:ascii="Arial" w:hAnsi="Arial" w:cs="Arial"/>
          <w:b/>
          <w:sz w:val="32"/>
          <w:szCs w:val="32"/>
          <w:lang w:val="fr-CA"/>
        </w:rPr>
        <w:t>Examen et surveillance</w:t>
      </w:r>
    </w:p>
    <w:p w14:paraId="02601278" w14:textId="77777777" w:rsidR="004B3B5E" w:rsidRDefault="004B3B5E" w:rsidP="004B3B5E">
      <w:pPr>
        <w:spacing w:line="264" w:lineRule="auto"/>
        <w:ind w:left="567"/>
        <w:contextualSpacing/>
        <w:rPr>
          <w:rFonts w:ascii="Arial" w:eastAsia="Arial" w:hAnsi="Arial" w:cs="Arial"/>
        </w:rPr>
      </w:pPr>
    </w:p>
    <w:p w14:paraId="1493BC46" w14:textId="68720AB9" w:rsidR="00FC79CD" w:rsidRPr="00FC79CD" w:rsidRDefault="00FC79CD" w:rsidP="00FC79CD">
      <w:pPr>
        <w:numPr>
          <w:ilvl w:val="1"/>
          <w:numId w:val="7"/>
        </w:numPr>
        <w:spacing w:line="264" w:lineRule="auto"/>
        <w:ind w:left="1260" w:hanging="684"/>
        <w:contextualSpacing/>
        <w:rPr>
          <w:rFonts w:ascii="Arial" w:eastAsia="Arial" w:hAnsi="Arial" w:cs="Arial"/>
        </w:rPr>
      </w:pPr>
      <w:r w:rsidRPr="00FC79CD">
        <w:rPr>
          <w:rFonts w:ascii="Arial" w:hAnsi="Arial" w:cs="Arial"/>
          <w:lang w:val="fr-CA"/>
        </w:rPr>
        <w:t>La présente politique peut être examinée et révisée à tout moment, mais les fiduciaires l’examineront officiellement au moins une fois par an.</w:t>
      </w:r>
    </w:p>
    <w:sectPr w:rsidR="00FC79CD" w:rsidRPr="00FC79CD" w:rsidSect="002771A9">
      <w:footerReference w:type="default" r:id="rId14"/>
      <w:type w:val="continuous"/>
      <w:pgSz w:w="12240" w:h="15840"/>
      <w:pgMar w:top="1440" w:right="1296" w:bottom="1080"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F6A0" w14:textId="77777777" w:rsidR="00521232" w:rsidRDefault="00521232">
      <w:r>
        <w:separator/>
      </w:r>
    </w:p>
  </w:endnote>
  <w:endnote w:type="continuationSeparator" w:id="0">
    <w:p w14:paraId="5DE69E78" w14:textId="77777777" w:rsidR="00521232" w:rsidRDefault="0052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1BC4" w14:textId="77777777" w:rsidR="007A748B" w:rsidRDefault="007A7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E6E3" w14:textId="77777777" w:rsidR="00CC4BA6" w:rsidRDefault="00CC4BA6">
    <w:pPr>
      <w:tabs>
        <w:tab w:val="center" w:pos="4320"/>
        <w:tab w:val="right" w:pos="8640"/>
      </w:tabs>
      <w:spacing w:after="709"/>
      <w:ind w:right="360"/>
      <w:rPr>
        <w:rFonts w:ascii="Arial" w:eastAsia="Arial" w:hAnsi="Arial" w:cs="Arial"/>
        <w:color w:val="7CBD31"/>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4EF" w14:textId="77777777" w:rsidR="007A748B" w:rsidRDefault="007A74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1EF3" w14:textId="70B6FDA2" w:rsidR="00374FB4" w:rsidRPr="002771A9" w:rsidRDefault="00352A55" w:rsidP="00374FB4">
    <w:pPr>
      <w:tabs>
        <w:tab w:val="center" w:pos="4320"/>
        <w:tab w:val="right" w:pos="8640"/>
      </w:tabs>
      <w:jc w:val="center"/>
      <w:rPr>
        <w:rFonts w:ascii="Arial" w:eastAsia="Arial" w:hAnsi="Arial" w:cs="Arial"/>
        <w:color w:val="7CBD31"/>
        <w:sz w:val="20"/>
      </w:rPr>
    </w:pPr>
    <w:r w:rsidRPr="002771A9">
      <w:rPr>
        <w:rFonts w:ascii="Arial" w:hAnsi="Arial" w:cs="Arial"/>
        <w:noProof/>
        <w:sz w:val="20"/>
        <w:lang w:val="en-CA" w:eastAsia="en-CA"/>
      </w:rPr>
      <mc:AlternateContent>
        <mc:Choice Requires="wps">
          <w:drawing>
            <wp:anchor distT="0" distB="0" distL="114300" distR="114300" simplePos="0" relativeHeight="251666432" behindDoc="0" locked="0" layoutInCell="0" hidden="0" allowOverlap="1" wp14:anchorId="699663E0" wp14:editId="49826F8D">
              <wp:simplePos x="0" y="0"/>
              <wp:positionH relativeFrom="margin">
                <wp:posOffset>0</wp:posOffset>
              </wp:positionH>
              <wp:positionV relativeFrom="paragraph">
                <wp:posOffset>-114300</wp:posOffset>
              </wp:positionV>
              <wp:extent cx="6286500" cy="12700"/>
              <wp:effectExtent l="0" t="0" r="19050" b="25400"/>
              <wp:wrapNone/>
              <wp:docPr id="3" name="Straight Arrow Connector 3"/>
              <wp:cNvGraphicFramePr/>
              <a:graphic xmlns:a="http://schemas.openxmlformats.org/drawingml/2006/main">
                <a:graphicData uri="http://schemas.microsoft.com/office/word/2010/wordprocessingShape">
                  <wps:wsp>
                    <wps:cNvCnPr/>
                    <wps:spPr>
                      <a:xfrm>
                        <a:off x="0" y="0"/>
                        <a:ext cx="6286500" cy="12700"/>
                      </a:xfrm>
                      <a:prstGeom prst="straightConnector1">
                        <a:avLst/>
                      </a:prstGeom>
                      <a:noFill/>
                      <a:ln w="19050" cap="flat" cmpd="sng">
                        <a:solidFill>
                          <a:srgbClr val="473931"/>
                        </a:solidFill>
                        <a:prstDash val="solid"/>
                        <a:round/>
                        <a:headEnd type="none" w="med" len="med"/>
                        <a:tailEnd type="none" w="med" len="med"/>
                      </a:ln>
                    </wps:spPr>
                    <wps:bodyPr/>
                  </wps:wsp>
                </a:graphicData>
              </a:graphic>
            </wp:anchor>
          </w:drawing>
        </mc:Choice>
        <mc:Fallback>
          <w:pict>
            <v:shapetype w14:anchorId="5099F647" id="_x0000_t32" coordsize="21600,21600" o:spt="32" o:oned="t" path="m,l21600,21600e" filled="f">
              <v:path arrowok="t" fillok="f" o:connecttype="none"/>
              <o:lock v:ext="edit" shapetype="t"/>
            </v:shapetype>
            <v:shape id="Straight Arrow Connector 3" o:spid="_x0000_s1026" type="#_x0000_t32" style="position:absolute;margin-left:0;margin-top:-9pt;width:495pt;height:1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" o:allowincell="f" strokecolor="#473931" strokeweight="1.5pt">
              <w10:wrap anchorx="margin"/>
            </v:shape>
          </w:pict>
        </mc:Fallback>
      </mc:AlternateContent>
    </w:r>
    <w:r w:rsidR="00374FB4" w:rsidRPr="002771A9">
      <w:rPr>
        <w:rFonts w:ascii="Arial" w:hAnsi="Arial" w:cs="Arial"/>
        <w:sz w:val="20"/>
      </w:rPr>
      <w:fldChar w:fldCharType="begin"/>
    </w:r>
    <w:r w:rsidR="00374FB4" w:rsidRPr="002771A9">
      <w:rPr>
        <w:rFonts w:ascii="Arial" w:hAnsi="Arial" w:cs="Arial"/>
        <w:sz w:val="20"/>
      </w:rPr>
      <w:instrText>PAGE</w:instrText>
    </w:r>
    <w:r w:rsidR="00374FB4" w:rsidRPr="002771A9">
      <w:rPr>
        <w:rFonts w:ascii="Arial" w:hAnsi="Arial" w:cs="Arial"/>
        <w:sz w:val="20"/>
      </w:rPr>
      <w:fldChar w:fldCharType="separate"/>
    </w:r>
    <w:r w:rsidR="00360D53">
      <w:rPr>
        <w:rFonts w:ascii="Arial" w:hAnsi="Arial" w:cs="Arial"/>
        <w:noProof/>
        <w:sz w:val="20"/>
      </w:rPr>
      <w:t>1</w:t>
    </w:r>
    <w:r w:rsidR="00374FB4" w:rsidRPr="002771A9">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AC05" w14:textId="77777777" w:rsidR="00521232" w:rsidRDefault="00521232">
      <w:r>
        <w:separator/>
      </w:r>
    </w:p>
  </w:footnote>
  <w:footnote w:type="continuationSeparator" w:id="0">
    <w:p w14:paraId="11FD9DA3" w14:textId="77777777" w:rsidR="00521232" w:rsidRDefault="0052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05BE" w14:textId="33374932" w:rsidR="00374FB4" w:rsidRDefault="00374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969B" w14:textId="6AFFD043" w:rsidR="00CC4BA6" w:rsidRDefault="00CC4BA6">
    <w:pPr>
      <w:tabs>
        <w:tab w:val="center" w:pos="4320"/>
        <w:tab w:val="right" w:pos="8640"/>
      </w:tabs>
      <w:spacing w:before="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D8E8" w14:textId="41BAB825" w:rsidR="00374FB4" w:rsidRDefault="00374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3F47"/>
    <w:multiLevelType w:val="multilevel"/>
    <w:tmpl w:val="95D6AD68"/>
    <w:lvl w:ilvl="0">
      <w:start w:val="1"/>
      <w:numFmt w:val="bullet"/>
      <w:lvlText w:val=""/>
      <w:lvlJc w:val="left"/>
      <w:pPr>
        <w:ind w:left="1800" w:firstLine="1440"/>
      </w:pPr>
      <w:rPr>
        <w:rFonts w:ascii="Wingdings" w:hAnsi="Wingdings" w:hint="default"/>
        <w:color w:val="auto"/>
        <w:sz w:val="16"/>
        <w:szCs w:val="22"/>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 w15:restartNumberingAfterBreak="0">
    <w:nsid w:val="09DE3446"/>
    <w:multiLevelType w:val="hybridMultilevel"/>
    <w:tmpl w:val="C3AC4FA8"/>
    <w:lvl w:ilvl="0" w:tplc="19C4B7FC">
      <w:start w:val="1"/>
      <w:numFmt w:val="lowerLetter"/>
      <w:lvlText w:val="%1)"/>
      <w:lvlJc w:val="left"/>
      <w:pPr>
        <w:ind w:left="1699" w:hanging="432"/>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133E6F6A"/>
    <w:multiLevelType w:val="multilevel"/>
    <w:tmpl w:val="ECF2B67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B067188"/>
    <w:multiLevelType w:val="multilevel"/>
    <w:tmpl w:val="8A4297E4"/>
    <w:lvl w:ilvl="0">
      <w:start w:val="1"/>
      <w:numFmt w:val="decimal"/>
      <w:lvlText w:val="%1."/>
      <w:lvlJc w:val="left"/>
      <w:pPr>
        <w:ind w:left="720" w:firstLine="360"/>
      </w:pPr>
      <w:rPr>
        <w:b/>
        <w:sz w:val="32"/>
      </w:rPr>
    </w:lvl>
    <w:lvl w:ilvl="1">
      <w:start w:val="1"/>
      <w:numFmt w:val="decimal"/>
      <w:lvlText w:val="%1.%2"/>
      <w:lvlJc w:val="left"/>
      <w:pPr>
        <w:ind w:left="1080" w:firstLine="360"/>
      </w:pPr>
      <w:rPr>
        <w:b/>
        <w:color w:val="000000"/>
      </w:r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4" w15:restartNumberingAfterBreak="0">
    <w:nsid w:val="1C5D4B24"/>
    <w:multiLevelType w:val="multilevel"/>
    <w:tmpl w:val="DC925134"/>
    <w:lvl w:ilvl="0">
      <w:start w:val="1"/>
      <w:numFmt w:val="lowerLetter"/>
      <w:lvlText w:val="%1)"/>
      <w:lvlJc w:val="left"/>
      <w:pPr>
        <w:ind w:left="1485" w:firstLine="1080"/>
      </w:pPr>
    </w:lvl>
    <w:lvl w:ilvl="1">
      <w:start w:val="1"/>
      <w:numFmt w:val="lowerRoman"/>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5" w15:restartNumberingAfterBreak="0">
    <w:nsid w:val="1E0557F4"/>
    <w:multiLevelType w:val="hybridMultilevel"/>
    <w:tmpl w:val="E800E322"/>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5D22574"/>
    <w:multiLevelType w:val="multilevel"/>
    <w:tmpl w:val="21C2859E"/>
    <w:lvl w:ilvl="0">
      <w:start w:val="1"/>
      <w:numFmt w:val="bullet"/>
      <w:lvlText w:val=""/>
      <w:lvlJc w:val="left"/>
      <w:pPr>
        <w:ind w:left="1800" w:firstLine="1440"/>
      </w:pPr>
      <w:rPr>
        <w:rFonts w:ascii="Wingdings" w:hAnsi="Wingdings" w:hint="default"/>
        <w:color w:val="auto"/>
        <w:spacing w:val="-4"/>
        <w:position w:val="0"/>
        <w:sz w:val="18"/>
        <w:szCs w:val="24"/>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AEE2E6B"/>
    <w:multiLevelType w:val="multilevel"/>
    <w:tmpl w:val="D32A9B0A"/>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37EB78F2"/>
    <w:multiLevelType w:val="multilevel"/>
    <w:tmpl w:val="95AEC78C"/>
    <w:lvl w:ilvl="0">
      <w:start w:val="1"/>
      <w:numFmt w:val="lowerLetter"/>
      <w:lvlText w:val="%1)"/>
      <w:lvlJc w:val="left"/>
      <w:pPr>
        <w:ind w:left="1440" w:firstLine="1080"/>
      </w:pPr>
      <w:rPr>
        <w:b w:val="0"/>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9" w15:restartNumberingAfterBreak="0">
    <w:nsid w:val="41395B90"/>
    <w:multiLevelType w:val="multilevel"/>
    <w:tmpl w:val="A4F8686E"/>
    <w:lvl w:ilvl="0">
      <w:start w:val="1"/>
      <w:numFmt w:val="bullet"/>
      <w:lvlText w:val=""/>
      <w:lvlJc w:val="left"/>
      <w:pPr>
        <w:ind w:left="0" w:firstLine="1440"/>
      </w:pPr>
      <w:rPr>
        <w:rFonts w:ascii="Wingdings" w:hAnsi="Wingdings" w:hint="default"/>
        <w:color w:val="auto"/>
        <w:spacing w:val="-4"/>
        <w:position w:val="0"/>
        <w:sz w:val="28"/>
        <w:szCs w:val="24"/>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0" w15:restartNumberingAfterBreak="0">
    <w:nsid w:val="47C47276"/>
    <w:multiLevelType w:val="multilevel"/>
    <w:tmpl w:val="D90880F4"/>
    <w:lvl w:ilvl="0">
      <w:start w:val="1"/>
      <w:numFmt w:val="lowerLetter"/>
      <w:lvlText w:val="%1)"/>
      <w:lvlJc w:val="left"/>
      <w:pPr>
        <w:ind w:left="81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48D01BB6"/>
    <w:multiLevelType w:val="multilevel"/>
    <w:tmpl w:val="BD060B3C"/>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2" w15:restartNumberingAfterBreak="0">
    <w:nsid w:val="4B257CC6"/>
    <w:multiLevelType w:val="hybridMultilevel"/>
    <w:tmpl w:val="62884F56"/>
    <w:lvl w:ilvl="0" w:tplc="BA587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4E74FE"/>
    <w:multiLevelType w:val="multilevel"/>
    <w:tmpl w:val="BE6497A6"/>
    <w:lvl w:ilvl="0">
      <w:start w:val="1"/>
      <w:numFmt w:val="decimal"/>
      <w:lvlText w:val="Principe %1."/>
      <w:lvlJc w:val="left"/>
      <w:pPr>
        <w:ind w:left="1800" w:firstLine="1080"/>
      </w:pPr>
      <w:rPr>
        <w:rFonts w:hint="default"/>
      </w:rPr>
    </w:lvl>
    <w:lvl w:ilvl="1">
      <w:start w:val="1"/>
      <w:numFmt w:val="lowerLetter"/>
      <w:lvlText w:val="%2."/>
      <w:lvlJc w:val="left"/>
      <w:pPr>
        <w:ind w:left="2520" w:firstLine="1800"/>
      </w:pPr>
    </w:lvl>
    <w:lvl w:ilvl="2">
      <w:start w:val="1"/>
      <w:numFmt w:val="lowerRoman"/>
      <w:lvlText w:val="%3."/>
      <w:lvlJc w:val="right"/>
      <w:pPr>
        <w:ind w:left="3240" w:firstLine="2700"/>
      </w:pPr>
    </w:lvl>
    <w:lvl w:ilvl="3">
      <w:start w:val="1"/>
      <w:numFmt w:val="decimal"/>
      <w:lvlText w:val="%4."/>
      <w:lvlJc w:val="left"/>
      <w:pPr>
        <w:ind w:left="3960" w:firstLine="3240"/>
      </w:pPr>
    </w:lvl>
    <w:lvl w:ilvl="4">
      <w:start w:val="1"/>
      <w:numFmt w:val="lowerLetter"/>
      <w:lvlText w:val="%5."/>
      <w:lvlJc w:val="left"/>
      <w:pPr>
        <w:ind w:left="4680" w:firstLine="3960"/>
      </w:pPr>
    </w:lvl>
    <w:lvl w:ilvl="5">
      <w:start w:val="1"/>
      <w:numFmt w:val="lowerRoman"/>
      <w:lvlText w:val="%6."/>
      <w:lvlJc w:val="right"/>
      <w:pPr>
        <w:ind w:left="5400" w:firstLine="4860"/>
      </w:pPr>
    </w:lvl>
    <w:lvl w:ilvl="6">
      <w:start w:val="1"/>
      <w:numFmt w:val="decimal"/>
      <w:lvlText w:val="%7."/>
      <w:lvlJc w:val="left"/>
      <w:pPr>
        <w:ind w:left="6120" w:firstLine="5400"/>
      </w:pPr>
    </w:lvl>
    <w:lvl w:ilvl="7">
      <w:start w:val="1"/>
      <w:numFmt w:val="lowerLetter"/>
      <w:lvlText w:val="%8."/>
      <w:lvlJc w:val="left"/>
      <w:pPr>
        <w:ind w:left="6840" w:firstLine="6120"/>
      </w:pPr>
    </w:lvl>
    <w:lvl w:ilvl="8">
      <w:start w:val="1"/>
      <w:numFmt w:val="lowerRoman"/>
      <w:lvlText w:val="%9."/>
      <w:lvlJc w:val="right"/>
      <w:pPr>
        <w:ind w:left="7560" w:firstLine="7020"/>
      </w:pPr>
    </w:lvl>
  </w:abstractNum>
  <w:abstractNum w:abstractNumId="14" w15:restartNumberingAfterBreak="0">
    <w:nsid w:val="5BD95A7E"/>
    <w:multiLevelType w:val="multilevel"/>
    <w:tmpl w:val="DA66F7B6"/>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5" w15:restartNumberingAfterBreak="0">
    <w:nsid w:val="67876B63"/>
    <w:multiLevelType w:val="multilevel"/>
    <w:tmpl w:val="20DAD6BA"/>
    <w:lvl w:ilvl="0">
      <w:start w:val="1"/>
      <w:numFmt w:val="bullet"/>
      <w:lvlText w:val=""/>
      <w:lvlJc w:val="left"/>
      <w:pPr>
        <w:ind w:left="1800" w:firstLine="1440"/>
      </w:pPr>
      <w:rPr>
        <w:rFonts w:ascii="Wingdings" w:hAnsi="Wingdings" w:hint="default"/>
        <w:color w:val="auto"/>
        <w:sz w:val="18"/>
        <w:szCs w:val="22"/>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6" w15:restartNumberingAfterBreak="0">
    <w:nsid w:val="70762965"/>
    <w:multiLevelType w:val="hybridMultilevel"/>
    <w:tmpl w:val="65D28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CD225F"/>
    <w:multiLevelType w:val="hybridMultilevel"/>
    <w:tmpl w:val="7446FB34"/>
    <w:lvl w:ilvl="0" w:tplc="B2F628A4">
      <w:start w:val="1"/>
      <w:numFmt w:val="lowerLetter"/>
      <w:lvlText w:val="%1)"/>
      <w:lvlJc w:val="left"/>
      <w:pPr>
        <w:ind w:left="1620" w:hanging="360"/>
      </w:pPr>
      <w:rPr>
        <w:rFonts w:ascii="Arial" w:hAnsi="Arial"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473524253">
    <w:abstractNumId w:val="14"/>
  </w:num>
  <w:num w:numId="2" w16cid:durableId="1134446572">
    <w:abstractNumId w:val="13"/>
  </w:num>
  <w:num w:numId="3" w16cid:durableId="1864977879">
    <w:abstractNumId w:val="10"/>
  </w:num>
  <w:num w:numId="4" w16cid:durableId="740831447">
    <w:abstractNumId w:val="8"/>
  </w:num>
  <w:num w:numId="5" w16cid:durableId="791049336">
    <w:abstractNumId w:val="11"/>
  </w:num>
  <w:num w:numId="6" w16cid:durableId="1667979784">
    <w:abstractNumId w:val="7"/>
  </w:num>
  <w:num w:numId="7" w16cid:durableId="540751100">
    <w:abstractNumId w:val="3"/>
  </w:num>
  <w:num w:numId="8" w16cid:durableId="1902447705">
    <w:abstractNumId w:val="4"/>
  </w:num>
  <w:num w:numId="9" w16cid:durableId="1735080361">
    <w:abstractNumId w:val="2"/>
  </w:num>
  <w:num w:numId="10" w16cid:durableId="1749615792">
    <w:abstractNumId w:val="16"/>
  </w:num>
  <w:num w:numId="11" w16cid:durableId="1655914123">
    <w:abstractNumId w:val="15"/>
  </w:num>
  <w:num w:numId="12" w16cid:durableId="336199770">
    <w:abstractNumId w:val="0"/>
  </w:num>
  <w:num w:numId="13" w16cid:durableId="947852005">
    <w:abstractNumId w:val="6"/>
  </w:num>
  <w:num w:numId="14" w16cid:durableId="1382361432">
    <w:abstractNumId w:val="9"/>
  </w:num>
  <w:num w:numId="15" w16cid:durableId="1854032708">
    <w:abstractNumId w:val="5"/>
  </w:num>
  <w:num w:numId="16" w16cid:durableId="1066798740">
    <w:abstractNumId w:val="1"/>
  </w:num>
  <w:num w:numId="17" w16cid:durableId="1308438298">
    <w:abstractNumId w:val="17"/>
  </w:num>
  <w:num w:numId="18" w16cid:durableId="895119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A6"/>
    <w:rsid w:val="00002351"/>
    <w:rsid w:val="00041BF2"/>
    <w:rsid w:val="0004686D"/>
    <w:rsid w:val="000468AE"/>
    <w:rsid w:val="00056116"/>
    <w:rsid w:val="00057025"/>
    <w:rsid w:val="00065ACA"/>
    <w:rsid w:val="00082F79"/>
    <w:rsid w:val="00086642"/>
    <w:rsid w:val="000A031E"/>
    <w:rsid w:val="000A2E52"/>
    <w:rsid w:val="000A3D68"/>
    <w:rsid w:val="000F033E"/>
    <w:rsid w:val="000F43A9"/>
    <w:rsid w:val="001466D1"/>
    <w:rsid w:val="001509F3"/>
    <w:rsid w:val="00150B7B"/>
    <w:rsid w:val="0016254C"/>
    <w:rsid w:val="001709CA"/>
    <w:rsid w:val="00180904"/>
    <w:rsid w:val="001A0197"/>
    <w:rsid w:val="001B2113"/>
    <w:rsid w:val="001D216C"/>
    <w:rsid w:val="001D52EF"/>
    <w:rsid w:val="001D5A47"/>
    <w:rsid w:val="001E5376"/>
    <w:rsid w:val="001F4CE8"/>
    <w:rsid w:val="002010F6"/>
    <w:rsid w:val="00206C39"/>
    <w:rsid w:val="002128CB"/>
    <w:rsid w:val="00216357"/>
    <w:rsid w:val="00227C95"/>
    <w:rsid w:val="00231D97"/>
    <w:rsid w:val="00246504"/>
    <w:rsid w:val="00247435"/>
    <w:rsid w:val="00252F70"/>
    <w:rsid w:val="00261590"/>
    <w:rsid w:val="00271776"/>
    <w:rsid w:val="00273230"/>
    <w:rsid w:val="002771A9"/>
    <w:rsid w:val="002772F5"/>
    <w:rsid w:val="00285666"/>
    <w:rsid w:val="002A6DCC"/>
    <w:rsid w:val="002B5B1D"/>
    <w:rsid w:val="002D1B2A"/>
    <w:rsid w:val="002E513F"/>
    <w:rsid w:val="002F29BB"/>
    <w:rsid w:val="00324C67"/>
    <w:rsid w:val="0032512D"/>
    <w:rsid w:val="00325783"/>
    <w:rsid w:val="00352A55"/>
    <w:rsid w:val="00355FCC"/>
    <w:rsid w:val="003579EF"/>
    <w:rsid w:val="00360D53"/>
    <w:rsid w:val="0036350F"/>
    <w:rsid w:val="00374249"/>
    <w:rsid w:val="00374ECE"/>
    <w:rsid w:val="00374FB4"/>
    <w:rsid w:val="0039654A"/>
    <w:rsid w:val="003A7878"/>
    <w:rsid w:val="003C1264"/>
    <w:rsid w:val="003C4307"/>
    <w:rsid w:val="003D6F9F"/>
    <w:rsid w:val="003E216B"/>
    <w:rsid w:val="003F5EF4"/>
    <w:rsid w:val="00403F85"/>
    <w:rsid w:val="00410F5B"/>
    <w:rsid w:val="00421093"/>
    <w:rsid w:val="004231DA"/>
    <w:rsid w:val="00441498"/>
    <w:rsid w:val="00453290"/>
    <w:rsid w:val="0045339C"/>
    <w:rsid w:val="0046229B"/>
    <w:rsid w:val="00476962"/>
    <w:rsid w:val="00487763"/>
    <w:rsid w:val="004923E0"/>
    <w:rsid w:val="004B252D"/>
    <w:rsid w:val="004B3B5E"/>
    <w:rsid w:val="004B4E2A"/>
    <w:rsid w:val="004B7024"/>
    <w:rsid w:val="004C75C2"/>
    <w:rsid w:val="004D1117"/>
    <w:rsid w:val="004D6518"/>
    <w:rsid w:val="004E1599"/>
    <w:rsid w:val="004E655C"/>
    <w:rsid w:val="0050037D"/>
    <w:rsid w:val="00521232"/>
    <w:rsid w:val="005308B0"/>
    <w:rsid w:val="00533279"/>
    <w:rsid w:val="00533C9B"/>
    <w:rsid w:val="00543B98"/>
    <w:rsid w:val="00550880"/>
    <w:rsid w:val="00560093"/>
    <w:rsid w:val="005634B7"/>
    <w:rsid w:val="00567201"/>
    <w:rsid w:val="0056732B"/>
    <w:rsid w:val="00586E0A"/>
    <w:rsid w:val="0058771C"/>
    <w:rsid w:val="00595AFD"/>
    <w:rsid w:val="005A66C6"/>
    <w:rsid w:val="005B08DC"/>
    <w:rsid w:val="005B7AF9"/>
    <w:rsid w:val="005C0014"/>
    <w:rsid w:val="005C5B24"/>
    <w:rsid w:val="005C688D"/>
    <w:rsid w:val="005D5E1C"/>
    <w:rsid w:val="005E00B7"/>
    <w:rsid w:val="005E0932"/>
    <w:rsid w:val="005E240F"/>
    <w:rsid w:val="005E258E"/>
    <w:rsid w:val="005E2697"/>
    <w:rsid w:val="006125E2"/>
    <w:rsid w:val="00617BA6"/>
    <w:rsid w:val="00621217"/>
    <w:rsid w:val="0063740D"/>
    <w:rsid w:val="00643EA2"/>
    <w:rsid w:val="00663303"/>
    <w:rsid w:val="00673207"/>
    <w:rsid w:val="00677498"/>
    <w:rsid w:val="0068048A"/>
    <w:rsid w:val="0068270B"/>
    <w:rsid w:val="0069752B"/>
    <w:rsid w:val="006A696B"/>
    <w:rsid w:val="006B3FEF"/>
    <w:rsid w:val="006D2322"/>
    <w:rsid w:val="006D3B4B"/>
    <w:rsid w:val="00715597"/>
    <w:rsid w:val="007326DD"/>
    <w:rsid w:val="00733EDA"/>
    <w:rsid w:val="007422A8"/>
    <w:rsid w:val="00763CE0"/>
    <w:rsid w:val="0077411C"/>
    <w:rsid w:val="007756E7"/>
    <w:rsid w:val="00775C12"/>
    <w:rsid w:val="00777A39"/>
    <w:rsid w:val="00782655"/>
    <w:rsid w:val="00782815"/>
    <w:rsid w:val="00782B99"/>
    <w:rsid w:val="007834F0"/>
    <w:rsid w:val="00796C81"/>
    <w:rsid w:val="007A09B2"/>
    <w:rsid w:val="007A4DE2"/>
    <w:rsid w:val="007A748B"/>
    <w:rsid w:val="007C3493"/>
    <w:rsid w:val="007C4051"/>
    <w:rsid w:val="007C5C40"/>
    <w:rsid w:val="007D7AC9"/>
    <w:rsid w:val="007E7842"/>
    <w:rsid w:val="007F4D37"/>
    <w:rsid w:val="007F64F4"/>
    <w:rsid w:val="007F7475"/>
    <w:rsid w:val="00810B65"/>
    <w:rsid w:val="00817ACA"/>
    <w:rsid w:val="00826C4E"/>
    <w:rsid w:val="008440BF"/>
    <w:rsid w:val="00844AF2"/>
    <w:rsid w:val="00850905"/>
    <w:rsid w:val="00862457"/>
    <w:rsid w:val="00866CE9"/>
    <w:rsid w:val="0087129D"/>
    <w:rsid w:val="00873147"/>
    <w:rsid w:val="00896D0E"/>
    <w:rsid w:val="008C631B"/>
    <w:rsid w:val="008D437E"/>
    <w:rsid w:val="008E1192"/>
    <w:rsid w:val="008E7807"/>
    <w:rsid w:val="008E7D65"/>
    <w:rsid w:val="0091439C"/>
    <w:rsid w:val="00916BDD"/>
    <w:rsid w:val="009329C0"/>
    <w:rsid w:val="00953C5B"/>
    <w:rsid w:val="00961A3A"/>
    <w:rsid w:val="00962349"/>
    <w:rsid w:val="009655AF"/>
    <w:rsid w:val="00975862"/>
    <w:rsid w:val="009870C7"/>
    <w:rsid w:val="009A23E1"/>
    <w:rsid w:val="009C6AD0"/>
    <w:rsid w:val="009C6BE3"/>
    <w:rsid w:val="009D536E"/>
    <w:rsid w:val="009D672C"/>
    <w:rsid w:val="009D6DEB"/>
    <w:rsid w:val="009F5976"/>
    <w:rsid w:val="00A224DD"/>
    <w:rsid w:val="00A30FB1"/>
    <w:rsid w:val="00A40CC9"/>
    <w:rsid w:val="00A51DBD"/>
    <w:rsid w:val="00A52FEC"/>
    <w:rsid w:val="00A9092A"/>
    <w:rsid w:val="00A927C8"/>
    <w:rsid w:val="00AA5CBD"/>
    <w:rsid w:val="00AA7E45"/>
    <w:rsid w:val="00AB2CD8"/>
    <w:rsid w:val="00AB3A67"/>
    <w:rsid w:val="00AC0A57"/>
    <w:rsid w:val="00AD1CCB"/>
    <w:rsid w:val="00AD2628"/>
    <w:rsid w:val="00AD6024"/>
    <w:rsid w:val="00AE0DAF"/>
    <w:rsid w:val="00AF2D8C"/>
    <w:rsid w:val="00B12BCA"/>
    <w:rsid w:val="00B21716"/>
    <w:rsid w:val="00B268B2"/>
    <w:rsid w:val="00B34B98"/>
    <w:rsid w:val="00B63D9E"/>
    <w:rsid w:val="00B6512D"/>
    <w:rsid w:val="00B66C59"/>
    <w:rsid w:val="00B82096"/>
    <w:rsid w:val="00B84ACB"/>
    <w:rsid w:val="00B91A90"/>
    <w:rsid w:val="00B92124"/>
    <w:rsid w:val="00BC38AF"/>
    <w:rsid w:val="00BD4543"/>
    <w:rsid w:val="00BE19EB"/>
    <w:rsid w:val="00BF204D"/>
    <w:rsid w:val="00BF7552"/>
    <w:rsid w:val="00C036E3"/>
    <w:rsid w:val="00C062F4"/>
    <w:rsid w:val="00C07015"/>
    <w:rsid w:val="00C14A54"/>
    <w:rsid w:val="00C46D16"/>
    <w:rsid w:val="00C56C0E"/>
    <w:rsid w:val="00C63550"/>
    <w:rsid w:val="00C82CD2"/>
    <w:rsid w:val="00CC4BA6"/>
    <w:rsid w:val="00CD65D7"/>
    <w:rsid w:val="00CD6EE3"/>
    <w:rsid w:val="00CE5C3F"/>
    <w:rsid w:val="00D01B88"/>
    <w:rsid w:val="00D02BE3"/>
    <w:rsid w:val="00D141B4"/>
    <w:rsid w:val="00D15363"/>
    <w:rsid w:val="00D25D00"/>
    <w:rsid w:val="00D44FB1"/>
    <w:rsid w:val="00D60B4D"/>
    <w:rsid w:val="00D70651"/>
    <w:rsid w:val="00D76BF1"/>
    <w:rsid w:val="00D97372"/>
    <w:rsid w:val="00DA1A47"/>
    <w:rsid w:val="00DA57D0"/>
    <w:rsid w:val="00DB7BC5"/>
    <w:rsid w:val="00DD6A57"/>
    <w:rsid w:val="00E00FC1"/>
    <w:rsid w:val="00E11997"/>
    <w:rsid w:val="00E1436B"/>
    <w:rsid w:val="00E27831"/>
    <w:rsid w:val="00E27F46"/>
    <w:rsid w:val="00E322DE"/>
    <w:rsid w:val="00E46FB5"/>
    <w:rsid w:val="00E57A5F"/>
    <w:rsid w:val="00E82593"/>
    <w:rsid w:val="00E8737A"/>
    <w:rsid w:val="00EB5DF6"/>
    <w:rsid w:val="00EC3048"/>
    <w:rsid w:val="00EC4C77"/>
    <w:rsid w:val="00EC7329"/>
    <w:rsid w:val="00EC7374"/>
    <w:rsid w:val="00ED4276"/>
    <w:rsid w:val="00ED7524"/>
    <w:rsid w:val="00EE2C28"/>
    <w:rsid w:val="00EF00D3"/>
    <w:rsid w:val="00F11EA7"/>
    <w:rsid w:val="00F16FA6"/>
    <w:rsid w:val="00F2317A"/>
    <w:rsid w:val="00F36B66"/>
    <w:rsid w:val="00F56426"/>
    <w:rsid w:val="00F60402"/>
    <w:rsid w:val="00F6362C"/>
    <w:rsid w:val="00F63FAA"/>
    <w:rsid w:val="00F745CD"/>
    <w:rsid w:val="00F865A5"/>
    <w:rsid w:val="00F924B5"/>
    <w:rsid w:val="00FC0F15"/>
    <w:rsid w:val="00FC79CD"/>
    <w:rsid w:val="00FD374B"/>
    <w:rsid w:val="00FD44AF"/>
    <w:rsid w:val="00FE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4E598"/>
  <w15:docId w15:val="{A4D0D347-E47B-4A0E-B5CC-04F1970E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Arial" w:eastAsia="Arial" w:hAnsi="Arial" w:cs="Arial"/>
      <w:b/>
      <w:color w:val="7CBD31"/>
      <w:sz w:val="32"/>
      <w:szCs w:val="32"/>
    </w:rPr>
  </w:style>
  <w:style w:type="paragraph" w:styleId="Heading2">
    <w:name w:val="heading 2"/>
    <w:basedOn w:val="Normal"/>
    <w:next w:val="Normal"/>
    <w:pPr>
      <w:keepNext/>
      <w:keepLines/>
      <w:spacing w:before="200"/>
      <w:outlineLvl w:val="1"/>
    </w:pPr>
    <w:rPr>
      <w:i/>
      <w:color w:val="473931"/>
      <w:sz w:val="28"/>
      <w:szCs w:val="28"/>
    </w:rPr>
  </w:style>
  <w:style w:type="paragraph" w:styleId="Heading3">
    <w:name w:val="heading 3"/>
    <w:basedOn w:val="Normal"/>
    <w:next w:val="Normal"/>
    <w:pPr>
      <w:keepNext/>
      <w:keepLines/>
      <w:spacing w:before="200"/>
      <w:outlineLvl w:val="2"/>
    </w:pPr>
    <w:rPr>
      <w:b/>
      <w:color w:val="E5891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D97372"/>
    <w:pPr>
      <w:ind w:left="720"/>
      <w:contextualSpacing/>
    </w:pPr>
  </w:style>
  <w:style w:type="paragraph" w:styleId="BalloonText">
    <w:name w:val="Balloon Text"/>
    <w:basedOn w:val="Normal"/>
    <w:link w:val="BalloonTextChar"/>
    <w:uiPriority w:val="99"/>
    <w:semiHidden/>
    <w:unhideWhenUsed/>
    <w:rsid w:val="007A0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9B2"/>
    <w:rPr>
      <w:rFonts w:ascii="Segoe UI" w:hAnsi="Segoe UI" w:cs="Segoe UI"/>
      <w:sz w:val="18"/>
      <w:szCs w:val="18"/>
    </w:rPr>
  </w:style>
  <w:style w:type="character" w:styleId="CommentReference">
    <w:name w:val="annotation reference"/>
    <w:basedOn w:val="DefaultParagraphFont"/>
    <w:uiPriority w:val="99"/>
    <w:semiHidden/>
    <w:unhideWhenUsed/>
    <w:rsid w:val="004E655C"/>
    <w:rPr>
      <w:sz w:val="16"/>
      <w:szCs w:val="16"/>
    </w:rPr>
  </w:style>
  <w:style w:type="paragraph" w:styleId="CommentText">
    <w:name w:val="annotation text"/>
    <w:basedOn w:val="Normal"/>
    <w:link w:val="CommentTextChar"/>
    <w:uiPriority w:val="99"/>
    <w:semiHidden/>
    <w:unhideWhenUsed/>
    <w:rsid w:val="004E655C"/>
    <w:rPr>
      <w:sz w:val="20"/>
      <w:szCs w:val="20"/>
    </w:rPr>
  </w:style>
  <w:style w:type="character" w:customStyle="1" w:styleId="CommentTextChar">
    <w:name w:val="Comment Text Char"/>
    <w:basedOn w:val="DefaultParagraphFont"/>
    <w:link w:val="CommentText"/>
    <w:uiPriority w:val="99"/>
    <w:semiHidden/>
    <w:rsid w:val="004E655C"/>
    <w:rPr>
      <w:sz w:val="20"/>
      <w:szCs w:val="20"/>
    </w:rPr>
  </w:style>
  <w:style w:type="paragraph" w:styleId="CommentSubject">
    <w:name w:val="annotation subject"/>
    <w:basedOn w:val="CommentText"/>
    <w:next w:val="CommentText"/>
    <w:link w:val="CommentSubjectChar"/>
    <w:uiPriority w:val="99"/>
    <w:semiHidden/>
    <w:unhideWhenUsed/>
    <w:rsid w:val="004E655C"/>
    <w:rPr>
      <w:b/>
      <w:bCs/>
    </w:rPr>
  </w:style>
  <w:style w:type="character" w:customStyle="1" w:styleId="CommentSubjectChar">
    <w:name w:val="Comment Subject Char"/>
    <w:basedOn w:val="CommentTextChar"/>
    <w:link w:val="CommentSubject"/>
    <w:uiPriority w:val="99"/>
    <w:semiHidden/>
    <w:rsid w:val="004E655C"/>
    <w:rPr>
      <w:b/>
      <w:bCs/>
      <w:sz w:val="20"/>
      <w:szCs w:val="20"/>
    </w:rPr>
  </w:style>
  <w:style w:type="paragraph" w:styleId="Header">
    <w:name w:val="header"/>
    <w:basedOn w:val="Normal"/>
    <w:link w:val="HeaderChar"/>
    <w:uiPriority w:val="99"/>
    <w:unhideWhenUsed/>
    <w:rsid w:val="00374FB4"/>
    <w:pPr>
      <w:tabs>
        <w:tab w:val="center" w:pos="4680"/>
        <w:tab w:val="right" w:pos="9360"/>
      </w:tabs>
    </w:pPr>
  </w:style>
  <w:style w:type="character" w:customStyle="1" w:styleId="HeaderChar">
    <w:name w:val="Header Char"/>
    <w:basedOn w:val="DefaultParagraphFont"/>
    <w:link w:val="Header"/>
    <w:uiPriority w:val="99"/>
    <w:rsid w:val="00374FB4"/>
  </w:style>
  <w:style w:type="paragraph" w:styleId="Footer">
    <w:name w:val="footer"/>
    <w:basedOn w:val="Normal"/>
    <w:link w:val="FooterChar"/>
    <w:uiPriority w:val="99"/>
    <w:unhideWhenUsed/>
    <w:rsid w:val="00374FB4"/>
    <w:pPr>
      <w:tabs>
        <w:tab w:val="center" w:pos="4680"/>
        <w:tab w:val="right" w:pos="9360"/>
      </w:tabs>
    </w:pPr>
  </w:style>
  <w:style w:type="character" w:customStyle="1" w:styleId="FooterChar">
    <w:name w:val="Footer Char"/>
    <w:basedOn w:val="DefaultParagraphFont"/>
    <w:link w:val="Footer"/>
    <w:uiPriority w:val="99"/>
    <w:rsid w:val="00374FB4"/>
  </w:style>
  <w:style w:type="paragraph" w:styleId="TOC1">
    <w:name w:val="toc 1"/>
    <w:basedOn w:val="Normal"/>
    <w:next w:val="Normal"/>
    <w:autoRedefine/>
    <w:uiPriority w:val="39"/>
    <w:unhideWhenUsed/>
    <w:rsid w:val="00487763"/>
    <w:pPr>
      <w:tabs>
        <w:tab w:val="left" w:pos="660"/>
        <w:tab w:val="right" w:pos="9962"/>
      </w:tabs>
      <w:spacing w:after="100"/>
    </w:pPr>
    <w:rPr>
      <w:rFonts w:ascii="Arial" w:hAnsi="Arial"/>
    </w:rPr>
  </w:style>
  <w:style w:type="character" w:styleId="Hyperlink">
    <w:name w:val="Hyperlink"/>
    <w:basedOn w:val="DefaultParagraphFont"/>
    <w:uiPriority w:val="99"/>
    <w:unhideWhenUsed/>
    <w:rsid w:val="00352A55"/>
    <w:rPr>
      <w:color w:val="0563C1" w:themeColor="hyperlink"/>
      <w:u w:val="single"/>
    </w:rPr>
  </w:style>
  <w:style w:type="paragraph" w:styleId="Revision">
    <w:name w:val="Revision"/>
    <w:hidden/>
    <w:uiPriority w:val="99"/>
    <w:semiHidden/>
    <w:rsid w:val="00B63D9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43876">
      <w:bodyDiv w:val="1"/>
      <w:marLeft w:val="0"/>
      <w:marRight w:val="0"/>
      <w:marTop w:val="0"/>
      <w:marBottom w:val="0"/>
      <w:divBdr>
        <w:top w:val="none" w:sz="0" w:space="0" w:color="auto"/>
        <w:left w:val="none" w:sz="0" w:space="0" w:color="auto"/>
        <w:bottom w:val="none" w:sz="0" w:space="0" w:color="auto"/>
        <w:right w:val="none" w:sz="0" w:space="0" w:color="auto"/>
      </w:divBdr>
      <w:divsChild>
        <w:div w:id="75786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705116">
              <w:marLeft w:val="0"/>
              <w:marRight w:val="0"/>
              <w:marTop w:val="0"/>
              <w:marBottom w:val="0"/>
              <w:divBdr>
                <w:top w:val="none" w:sz="0" w:space="0" w:color="auto"/>
                <w:left w:val="none" w:sz="0" w:space="0" w:color="auto"/>
                <w:bottom w:val="none" w:sz="0" w:space="0" w:color="auto"/>
                <w:right w:val="none" w:sz="0" w:space="0" w:color="auto"/>
              </w:divBdr>
              <w:divsChild>
                <w:div w:id="6171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3663</Words>
  <Characters>20883</Characters>
  <Application>Microsoft Office Word</Application>
  <DocSecurity>0</DocSecurity>
  <Lines>174</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OMERS</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Whelan</dc:creator>
  <cp:lastModifiedBy>Dayle Whittaker</cp:lastModifiedBy>
  <cp:revision>2</cp:revision>
  <cp:lastPrinted>2019-03-07T14:58:00Z</cp:lastPrinted>
  <dcterms:created xsi:type="dcterms:W3CDTF">2024-03-07T16:33:00Z</dcterms:created>
  <dcterms:modified xsi:type="dcterms:W3CDTF">2024-03-07T16:33:00Z</dcterms:modified>
</cp:coreProperties>
</file>